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2019年举借债务情况说明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2019年银州区新增债务10000万元，具体为：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2019年银州区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地债资金10000万元（其中上海佳苑项目申请地债资金5000万元，</w:t>
      </w:r>
      <w:r>
        <w:rPr>
          <w:rFonts w:hint="eastAsia" w:ascii="仿宋" w:hAnsi="仿宋" w:eastAsia="仿宋" w:cs="仿宋"/>
          <w:sz w:val="32"/>
          <w:szCs w:val="32"/>
        </w:rPr>
        <w:t>铁岭市银州区原一高南侧棚户区改造-书香门第住宅小区项目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申请地债资金5000万元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61BB"/>
    <w:rsid w:val="21034BC9"/>
    <w:rsid w:val="67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2021-05-30T06:40:00Z</dcterms:created>
  <dc:creator>Administrator</dc:creator>
  <cp:lastModifiedBy>Administrator</cp:lastModifiedBy>
  <dcterms:modified xsi:type="dcterms:W3CDTF">2021-05-30T07:19:07Z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645FDB0B334C4A1BAC5AB09825E86555</vt:lpwstr>
  </property>
</Properties>
</file>