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银州区信息和大数据服务中心2019年度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报送单位：银州区信息和大数据服务中心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仿宋_GB2312" w:eastAsia="仿宋_GB2312" w:cs="黑体"/>
          <w:kern w:val="0"/>
          <w:sz w:val="32"/>
          <w:szCs w:val="32"/>
          <w:lang w:val="zh-CN" w:eastAsia="zh-CN"/>
        </w:rPr>
        <w:t>银州区信息和大数据服务中心成立于</w:t>
      </w:r>
      <w:r>
        <w:rPr>
          <w:rFonts w:hint="eastAsia" w:ascii="仿宋_GB2312" w:eastAsia="仿宋_GB2312" w:cs="黑体"/>
          <w:kern w:val="0"/>
          <w:sz w:val="32"/>
          <w:szCs w:val="32"/>
          <w:lang w:val="en-US" w:eastAsia="zh-CN"/>
        </w:rPr>
        <w:t>2018年，中心现有人员37人，主要职责为</w:t>
      </w:r>
      <w:r>
        <w:rPr>
          <w:rFonts w:hint="eastAsia" w:ascii="仿宋_GB2312" w:eastAsia="仿宋_GB2312" w:cs="黑体"/>
          <w:kern w:val="0"/>
          <w:sz w:val="32"/>
          <w:szCs w:val="32"/>
          <w:lang w:val="zh-CN"/>
        </w:rPr>
        <w:t>党务政务信息服务、信息数据统计和综合应用、档案资料保管、地方志编纂等相关职能；</w:t>
      </w:r>
      <w:r>
        <w:rPr>
          <w:rFonts w:hint="eastAsia" w:ascii="仿宋_GB2312" w:eastAsia="仿宋_GB2312" w:cs="黑体"/>
          <w:kern w:val="0"/>
          <w:sz w:val="32"/>
          <w:szCs w:val="32"/>
          <w:lang w:val="en-US" w:eastAsia="zh-CN"/>
        </w:rPr>
        <w:t>2019年共接待档案查阅1669人次；共查阅档案2785卷。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1669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</w:rPr>
              <w:t> </w:t>
            </w:r>
            <w:r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640" w:firstLineChars="200"/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eastAsia="zh-CN"/>
        </w:rPr>
        <w:t>无</w:t>
      </w:r>
    </w:p>
    <w:p>
      <w:pPr>
        <w:widowControl/>
        <w:numPr>
          <w:ilvl w:val="0"/>
          <w:numId w:val="2"/>
        </w:numPr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其他需要报告的事项</w:t>
      </w:r>
    </w:p>
    <w:p>
      <w:pPr>
        <w:widowControl/>
        <w:numPr>
          <w:ilvl w:val="0"/>
          <w:numId w:val="0"/>
        </w:numPr>
        <w:spacing w:line="432" w:lineRule="auto"/>
        <w:ind w:firstLine="640" w:firstLineChars="200"/>
        <w:rPr>
          <w:rFonts w:hint="eastAsia" w:eastAsiaTheme="minorEastAsia"/>
          <w:lang w:eastAsia="zh-CN"/>
        </w:rPr>
      </w:pPr>
      <w:r>
        <w:rPr>
          <w:rFonts w:hint="eastAsia" w:ascii="仿宋" w:hAnsi="仿宋" w:eastAsia="仿宋" w:cs="Times New Roman"/>
          <w:color w:val="333333"/>
          <w:kern w:val="0"/>
          <w:sz w:val="32"/>
          <w:szCs w:val="32"/>
          <w:lang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A43C3A"/>
    <w:multiLevelType w:val="singleLevel"/>
    <w:tmpl w:val="F9A43C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FA8E6CA"/>
    <w:multiLevelType w:val="singleLevel"/>
    <w:tmpl w:val="6FA8E6C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D1291"/>
    <w:rsid w:val="1EE90BC2"/>
    <w:rsid w:val="47A27880"/>
    <w:rsid w:val="5DFF33C2"/>
    <w:rsid w:val="617377E2"/>
    <w:rsid w:val="618775F0"/>
    <w:rsid w:val="78DE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2020-01-13T05:41:00Z</cp:lastPrinted>
  <dcterms:modified xsi:type="dcterms:W3CDTF">2020-01-31T06:07:16Z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