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楷体_GB2312" w:hAnsi="楷体_GB2312" w:eastAsia="楷体_GB2312" w:cs="楷体_GB2312"/>
          <w:sz w:val="32"/>
          <w:szCs w:val="32"/>
        </w:rPr>
      </w:pPr>
      <w:r>
        <w:rPr>
          <w:rFonts w:hint="eastAsia" w:ascii="Times New Roman" w:hAnsi="Times New Roman" w:eastAsia="仿宋" w:cs="Times New Roman"/>
          <w:sz w:val="32"/>
          <w:szCs w:val="32"/>
        </w:rPr>
        <w:t>附件：</w:t>
      </w:r>
    </w:p>
    <w:p>
      <w:pPr>
        <w:jc w:val="center"/>
        <w:rPr>
          <w:rFonts w:hint="eastAsia" w:ascii="宋体" w:hAnsi="宋体" w:eastAsia="宋体" w:cs="宋体"/>
          <w:b/>
          <w:bCs/>
          <w:sz w:val="44"/>
          <w:szCs w:val="44"/>
        </w:rPr>
      </w:pPr>
      <w:r>
        <w:rPr>
          <w:rFonts w:hint="eastAsia" w:ascii="宋体" w:hAnsi="宋体" w:eastAsia="宋体" w:cs="宋体"/>
          <w:b/>
          <w:bCs/>
          <w:sz w:val="44"/>
          <w:szCs w:val="44"/>
        </w:rPr>
        <w:t>银州区卫健局2019年度政府信息公开</w:t>
      </w:r>
    </w:p>
    <w:p>
      <w:pPr>
        <w:jc w:val="center"/>
        <w:rPr>
          <w:rFonts w:hint="eastAsia" w:ascii="宋体" w:hAnsi="宋体" w:eastAsia="宋体" w:cs="宋体"/>
          <w:b/>
          <w:bCs/>
          <w:sz w:val="44"/>
          <w:szCs w:val="44"/>
        </w:rPr>
      </w:pPr>
      <w:r>
        <w:rPr>
          <w:rFonts w:hint="eastAsia" w:ascii="宋体" w:hAnsi="宋体" w:eastAsia="宋体" w:cs="宋体"/>
          <w:b/>
          <w:bCs/>
          <w:sz w:val="44"/>
          <w:szCs w:val="44"/>
        </w:rPr>
        <w:t>工作年度报告</w:t>
      </w:r>
    </w:p>
    <w:p>
      <w:pPr>
        <w:jc w:val="both"/>
        <w:rPr>
          <w:rFonts w:hint="eastAsia" w:ascii="宋体" w:hAnsi="宋体" w:eastAsia="宋体" w:cs="宋体"/>
          <w:sz w:val="32"/>
          <w:szCs w:val="32"/>
        </w:rPr>
      </w:pPr>
      <w:r>
        <w:rPr>
          <w:rFonts w:hint="eastAsia" w:ascii="宋体" w:hAnsi="宋体" w:eastAsia="宋体" w:cs="宋体"/>
          <w:sz w:val="32"/>
          <w:szCs w:val="32"/>
          <w:lang w:eastAsia="zh-CN"/>
        </w:rPr>
        <w:t>报送单位：</w:t>
      </w:r>
      <w:r>
        <w:rPr>
          <w:rFonts w:hint="eastAsia" w:ascii="宋体" w:hAnsi="宋体" w:eastAsia="宋体" w:cs="宋体"/>
          <w:sz w:val="32"/>
          <w:szCs w:val="32"/>
        </w:rPr>
        <w:t>银州区卫生健康局</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按照《中华人民共和国政府信息公开条例》的有关规定，以及铁岭市政务公开工作协调小组办公室《关于做好2018年度政府信息公开工作报告编制发布等工作的通知》（铁政公开办〔2019〕1号）要求，在认真贯彻落实《国务院办公厅关于加强和规范政府信息公开情况统计报送工作的通知》（国办发〔2014〕32号）精神的同时，结合银州区卫生健康局信息公开工作实际形成此工作报告。</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一、组织管理 </w:t>
      </w:r>
    </w:p>
    <w:p>
      <w:pPr>
        <w:pStyle w:val="5"/>
        <w:widowControl/>
        <w:spacing w:before="0" w:beforeAutospacing="0" w:after="0" w:afterAutospacing="0"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１.加强组织分工</w:t>
      </w:r>
    </w:p>
    <w:p>
      <w:pPr>
        <w:pStyle w:val="5"/>
        <w:widowControl/>
        <w:spacing w:before="0" w:beforeAutospacing="0" w:after="0" w:afterAutospacing="0"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我局领导高度重视政府信息公开机构的建立健全工作。根据工作分工，明确各分管领导负责分管部门的政务公开工作。局办公室负责政务信息公开日常工作，进一步推动和完善我局政务公开工作规范化、制度化、经常化，实现政务公开的长效管理，切实有效</w:t>
      </w:r>
      <w:r>
        <w:rPr>
          <w:rFonts w:hint="eastAsia" w:ascii="仿宋_GB2312" w:hAnsi="仿宋_GB2312" w:eastAsia="仿宋_GB2312" w:cs="仿宋_GB2312"/>
          <w:color w:val="000000"/>
          <w:sz w:val="32"/>
          <w:szCs w:val="32"/>
          <w:lang w:eastAsia="zh-CN"/>
        </w:rPr>
        <w:t>地</w:t>
      </w:r>
      <w:r>
        <w:rPr>
          <w:rFonts w:hint="eastAsia" w:ascii="仿宋_GB2312" w:hAnsi="仿宋_GB2312" w:eastAsia="仿宋_GB2312" w:cs="仿宋_GB2312"/>
          <w:color w:val="000000"/>
          <w:sz w:val="32"/>
          <w:szCs w:val="32"/>
        </w:rPr>
        <w:t>推进了政府信息公开工作。</w:t>
      </w:r>
    </w:p>
    <w:p>
      <w:pPr>
        <w:pStyle w:val="5"/>
        <w:widowControl/>
        <w:spacing w:before="0" w:beforeAutospacing="0" w:after="0" w:afterAutospacing="0"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color w:val="000000"/>
          <w:sz w:val="32"/>
          <w:szCs w:val="32"/>
        </w:rPr>
        <w:t>2.强化规范实施</w:t>
      </w:r>
    </w:p>
    <w:p>
      <w:pPr>
        <w:pStyle w:val="5"/>
        <w:widowControl/>
        <w:spacing w:before="0" w:beforeAutospacing="0" w:after="0" w:afterAutospacing="0" w:line="560" w:lineRule="exact"/>
        <w:ind w:firstLine="640"/>
        <w:rPr>
          <w:rFonts w:ascii="仿宋_GB2312" w:eastAsia="仿宋_GB2312"/>
          <w:sz w:val="32"/>
          <w:szCs w:val="32"/>
        </w:rPr>
      </w:pPr>
      <w:r>
        <w:rPr>
          <w:rFonts w:hint="eastAsia" w:ascii="仿宋_GB2312" w:hAnsi="仿宋_GB2312" w:eastAsia="仿宋_GB2312" w:cs="仿宋_GB2312"/>
          <w:color w:val="000000"/>
          <w:sz w:val="32"/>
          <w:szCs w:val="32"/>
        </w:rPr>
        <w:t>切实执行《中华人民共和国政府信息公开条例》，不断宣传政府信息公开的重要意义。提高全局工作人员对推行政府信息公开的认识，把政府信息公开置于促进和谐、服务群众的高度去认识，坚持靠创新形式和方式抓政府信息公开，认识政府信息公开对建设和谐医疗领域市场。</w:t>
      </w:r>
    </w:p>
    <w:p>
      <w:pPr>
        <w:spacing w:line="56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二、政府信息公开组织领导和制度建设情况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我局对政务公开工作落实了专人负责，并进一步完善了政务公开各项制度，确保政府信息公开工作持续良好开展。坚持考核评估，强化监督，健全完善监督机制，使我局政务信息公开工作进一步规范化、制度化。</w:t>
      </w: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二、主动公开政府信息情况</w:t>
      </w:r>
    </w:p>
    <w:tbl>
      <w:tblPr>
        <w:tblStyle w:val="6"/>
        <w:tblW w:w="8140" w:type="dxa"/>
        <w:jc w:val="center"/>
        <w:tblLayout w:type="autofit"/>
        <w:tblCellMar>
          <w:top w:w="0" w:type="dxa"/>
          <w:left w:w="108" w:type="dxa"/>
          <w:bottom w:w="0" w:type="dxa"/>
          <w:right w:w="108" w:type="dxa"/>
        </w:tblCellMar>
      </w:tblPr>
      <w:tblGrid>
        <w:gridCol w:w="3113"/>
        <w:gridCol w:w="1875"/>
        <w:gridCol w:w="6"/>
        <w:gridCol w:w="1265"/>
        <w:gridCol w:w="1881"/>
      </w:tblGrid>
      <w:tr>
        <w:tblPrEx>
          <w:tblCellMar>
            <w:top w:w="0" w:type="dxa"/>
            <w:left w:w="108" w:type="dxa"/>
            <w:bottom w:w="0" w:type="dxa"/>
            <w:right w:w="108" w:type="dxa"/>
          </w:tblCellMar>
        </w:tblPrEx>
        <w:trPr>
          <w:trHeight w:val="495"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第二十条第（一）项</w:t>
            </w:r>
          </w:p>
        </w:tc>
      </w:tr>
      <w:tr>
        <w:tblPrEx>
          <w:tblCellMar>
            <w:top w:w="0" w:type="dxa"/>
            <w:left w:w="108" w:type="dxa"/>
            <w:bottom w:w="0" w:type="dxa"/>
            <w:right w:w="108" w:type="dxa"/>
          </w:tblCellMar>
        </w:tblPrEx>
        <w:trPr>
          <w:trHeight w:val="882"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制作数量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本年新</w:t>
            </w:r>
            <w:r>
              <w:rPr>
                <w:rFonts w:hint="eastAsia" w:ascii="宋体" w:hAnsi="宋体" w:eastAsia="宋体" w:cs="宋体"/>
                <w:color w:val="000000"/>
                <w:kern w:val="0"/>
                <w:sz w:val="20"/>
                <w:szCs w:val="20"/>
              </w:rPr>
              <w:br w:type="textWrapping"/>
            </w:r>
            <w:r>
              <w:rPr>
                <w:rFonts w:hint="eastAsia" w:ascii="宋体" w:hAnsi="宋体" w:eastAsia="宋体" w:cs="宋体"/>
                <w:color w:val="333333"/>
                <w:kern w:val="0"/>
                <w:sz w:val="20"/>
                <w:szCs w:val="20"/>
              </w:rPr>
              <w:t>公开数量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对外公开总数量</w:t>
            </w:r>
          </w:p>
        </w:tc>
      </w:tr>
      <w:tr>
        <w:tblPrEx>
          <w:tblCellMar>
            <w:top w:w="0" w:type="dxa"/>
            <w:left w:w="108" w:type="dxa"/>
            <w:bottom w:w="0" w:type="dxa"/>
            <w:right w:w="108" w:type="dxa"/>
          </w:tblCellMar>
        </w:tblPrEx>
        <w:trPr>
          <w:trHeight w:val="523"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规章</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Calibri" w:eastAsia="宋体" w:cs="Times New Roman"/>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r>
        <w:tblPrEx>
          <w:tblCellMar>
            <w:top w:w="0" w:type="dxa"/>
            <w:left w:w="108" w:type="dxa"/>
            <w:bottom w:w="0" w:type="dxa"/>
            <w:right w:w="108" w:type="dxa"/>
          </w:tblCellMar>
        </w:tblPrEx>
        <w:trPr>
          <w:trHeight w:val="47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规范性文件</w:t>
            </w:r>
          </w:p>
        </w:tc>
        <w:tc>
          <w:tcPr>
            <w:tcW w:w="187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1271" w:type="dxa"/>
            <w:gridSpan w:val="2"/>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Calibri" w:eastAsia="宋体" w:cs="Times New Roman"/>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r>
        <w:tblPrEx>
          <w:tblCellMar>
            <w:top w:w="0" w:type="dxa"/>
            <w:left w:w="108" w:type="dxa"/>
            <w:bottom w:w="0" w:type="dxa"/>
            <w:right w:w="108" w:type="dxa"/>
          </w:tblCellMar>
        </w:tblPrEx>
        <w:trPr>
          <w:trHeight w:val="480"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第二十条第（五）项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528"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行政许可</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384</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r>
      <w:tr>
        <w:tblPrEx>
          <w:tblCellMar>
            <w:top w:w="0" w:type="dxa"/>
            <w:left w:w="108" w:type="dxa"/>
            <w:bottom w:w="0" w:type="dxa"/>
            <w:right w:w="108" w:type="dxa"/>
          </w:tblCellMar>
        </w:tblPrEx>
        <w:trPr>
          <w:trHeight w:val="55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其他对外管理服务事项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r>
      <w:tr>
        <w:tblPrEx>
          <w:tblCellMar>
            <w:top w:w="0" w:type="dxa"/>
            <w:left w:w="108" w:type="dxa"/>
            <w:bottom w:w="0" w:type="dxa"/>
            <w:right w:w="108" w:type="dxa"/>
          </w:tblCellMar>
        </w:tblPrEx>
        <w:trPr>
          <w:trHeight w:val="40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第二十条第（六）项</w:t>
            </w:r>
          </w:p>
        </w:tc>
      </w:tr>
      <w:tr>
        <w:tblPrEx>
          <w:tblCellMar>
            <w:top w:w="0" w:type="dxa"/>
            <w:left w:w="108" w:type="dxa"/>
            <w:bottom w:w="0" w:type="dxa"/>
            <w:right w:w="108" w:type="dxa"/>
          </w:tblCellMar>
        </w:tblPrEx>
        <w:trPr>
          <w:trHeight w:val="634"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7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1271"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处理决定数量</w:t>
            </w:r>
          </w:p>
        </w:tc>
      </w:tr>
      <w:tr>
        <w:tblPrEx>
          <w:tblCellMar>
            <w:top w:w="0" w:type="dxa"/>
            <w:left w:w="108" w:type="dxa"/>
            <w:bottom w:w="0" w:type="dxa"/>
            <w:right w:w="108" w:type="dxa"/>
          </w:tblCellMar>
        </w:tblPrEx>
        <w:trPr>
          <w:trHeight w:val="43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行政处罚</w:t>
            </w:r>
          </w:p>
        </w:tc>
        <w:tc>
          <w:tcPr>
            <w:tcW w:w="1881" w:type="dxa"/>
            <w:gridSpan w:val="2"/>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51</w:t>
            </w:r>
          </w:p>
        </w:tc>
        <w:tc>
          <w:tcPr>
            <w:tcW w:w="1265" w:type="dxa"/>
            <w:tcBorders>
              <w:top w:val="single" w:color="auto" w:sz="4" w:space="0"/>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51</w:t>
            </w:r>
          </w:p>
        </w:tc>
      </w:tr>
      <w:tr>
        <w:tblPrEx>
          <w:tblCellMar>
            <w:top w:w="0" w:type="dxa"/>
            <w:left w:w="108" w:type="dxa"/>
            <w:bottom w:w="0" w:type="dxa"/>
            <w:right w:w="108" w:type="dxa"/>
          </w:tblCellMar>
        </w:tblPrEx>
        <w:trPr>
          <w:trHeight w:val="40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行政强制</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1</w:t>
            </w:r>
          </w:p>
        </w:tc>
        <w:tc>
          <w:tcPr>
            <w:tcW w:w="1265"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1881" w:type="dxa"/>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r>
      <w:tr>
        <w:tblPrEx>
          <w:tblCellMar>
            <w:top w:w="0" w:type="dxa"/>
            <w:left w:w="108" w:type="dxa"/>
            <w:bottom w:w="0" w:type="dxa"/>
            <w:right w:w="108" w:type="dxa"/>
          </w:tblCellMar>
        </w:tblPrEx>
        <w:trPr>
          <w:trHeight w:val="474"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第二十条第（八）项</w:t>
            </w:r>
          </w:p>
        </w:tc>
      </w:tr>
      <w:tr>
        <w:tblPrEx>
          <w:tblCellMar>
            <w:top w:w="0" w:type="dxa"/>
            <w:left w:w="108" w:type="dxa"/>
            <w:bottom w:w="0" w:type="dxa"/>
            <w:right w:w="108" w:type="dxa"/>
          </w:tblCellMar>
        </w:tblPrEx>
        <w:trPr>
          <w:trHeight w:val="270"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上一年项目数量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本年增/减</w:t>
            </w:r>
          </w:p>
        </w:tc>
      </w:tr>
      <w:tr>
        <w:tblPrEx>
          <w:tblCellMar>
            <w:top w:w="0" w:type="dxa"/>
            <w:left w:w="108" w:type="dxa"/>
            <w:bottom w:w="0" w:type="dxa"/>
            <w:right w:w="108" w:type="dxa"/>
          </w:tblCellMar>
        </w:tblPrEx>
        <w:trPr>
          <w:trHeight w:val="551"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行政事业性收费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1</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Calibri" w:eastAsia="宋体" w:cs="Times New Roman"/>
                <w:color w:val="000000"/>
                <w:kern w:val="0"/>
                <w:sz w:val="20"/>
                <w:szCs w:val="20"/>
              </w:rPr>
              <w:t>20000</w:t>
            </w:r>
          </w:p>
        </w:tc>
      </w:tr>
      <w:tr>
        <w:tblPrEx>
          <w:tblCellMar>
            <w:top w:w="0" w:type="dxa"/>
            <w:left w:w="108" w:type="dxa"/>
            <w:bottom w:w="0" w:type="dxa"/>
            <w:right w:w="108" w:type="dxa"/>
          </w:tblCellMar>
        </w:tblPrEx>
        <w:trPr>
          <w:trHeight w:val="476" w:hRule="atLeast"/>
          <w:jc w:val="center"/>
        </w:trPr>
        <w:tc>
          <w:tcPr>
            <w:tcW w:w="8140" w:type="dxa"/>
            <w:gridSpan w:val="5"/>
            <w:tcBorders>
              <w:top w:val="single" w:color="auto" w:sz="4" w:space="0"/>
              <w:left w:val="single" w:color="auto" w:sz="4" w:space="0"/>
              <w:bottom w:val="single" w:color="auto" w:sz="4" w:space="0"/>
              <w:right w:val="single" w:color="auto" w:sz="4" w:space="0"/>
            </w:tcBorders>
            <w:shd w:val="clear" w:color="auto" w:fill="C6D9F1"/>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第二十条第（九）项</w:t>
            </w:r>
          </w:p>
        </w:tc>
      </w:tr>
      <w:tr>
        <w:tblPrEx>
          <w:tblCellMar>
            <w:top w:w="0" w:type="dxa"/>
            <w:left w:w="108" w:type="dxa"/>
            <w:bottom w:w="0" w:type="dxa"/>
            <w:right w:w="108" w:type="dxa"/>
          </w:tblCellMar>
        </w:tblPrEx>
        <w:trPr>
          <w:trHeight w:val="585"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信息内容</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采购项目数量</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采购总金额</w:t>
            </w:r>
          </w:p>
        </w:tc>
      </w:tr>
      <w:tr>
        <w:tblPrEx>
          <w:tblCellMar>
            <w:top w:w="0" w:type="dxa"/>
            <w:left w:w="108" w:type="dxa"/>
            <w:bottom w:w="0" w:type="dxa"/>
            <w:right w:w="108" w:type="dxa"/>
          </w:tblCellMar>
        </w:tblPrEx>
        <w:trPr>
          <w:trHeight w:val="539" w:hRule="atLeast"/>
          <w:jc w:val="center"/>
        </w:trPr>
        <w:tc>
          <w:tcPr>
            <w:tcW w:w="3113" w:type="dxa"/>
            <w:tcBorders>
              <w:top w:val="nil"/>
              <w:left w:val="single" w:color="auto" w:sz="4" w:space="0"/>
              <w:bottom w:val="single" w:color="auto" w:sz="4" w:space="0"/>
              <w:right w:val="single" w:color="auto" w:sz="4" w:space="0"/>
            </w:tcBorders>
            <w:noWrap/>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宋体" w:hAnsi="宋体" w:eastAsia="宋体" w:cs="宋体"/>
                <w:color w:val="000000"/>
                <w:kern w:val="0"/>
                <w:sz w:val="20"/>
                <w:szCs w:val="20"/>
              </w:rPr>
              <w:t>政府集中采购</w:t>
            </w:r>
          </w:p>
        </w:tc>
        <w:tc>
          <w:tcPr>
            <w:tcW w:w="1881" w:type="dxa"/>
            <w:gridSpan w:val="2"/>
            <w:tcBorders>
              <w:top w:val="nil"/>
              <w:left w:val="nil"/>
              <w:bottom w:val="single" w:color="auto" w:sz="4" w:space="0"/>
              <w:right w:val="single" w:color="auto"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0</w:t>
            </w:r>
          </w:p>
        </w:tc>
        <w:tc>
          <w:tcPr>
            <w:tcW w:w="3146" w:type="dxa"/>
            <w:gridSpan w:val="2"/>
            <w:tcBorders>
              <w:top w:val="single" w:color="auto" w:sz="4" w:space="0"/>
              <w:left w:val="nil"/>
              <w:bottom w:val="single" w:color="auto" w:sz="4" w:space="0"/>
              <w:right w:val="single" w:color="000000" w:sz="4" w:space="0"/>
            </w:tcBorders>
            <w:noWrap/>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r>
    </w:tbl>
    <w:p>
      <w:pPr>
        <w:widowControl/>
        <w:spacing w:line="432" w:lineRule="auto"/>
        <w:rPr>
          <w:rFonts w:ascii="Times New Roman" w:hAnsi="Times New Roman" w:eastAsia="仿宋" w:cs="Times New Roman"/>
          <w:color w:val="333333"/>
          <w:kern w:val="0"/>
          <w:sz w:val="32"/>
          <w:szCs w:val="32"/>
        </w:rPr>
      </w:pPr>
    </w:p>
    <w:p>
      <w:pPr>
        <w:ind w:firstLine="643" w:firstLineChars="200"/>
        <w:rPr>
          <w:rFonts w:ascii="黑体" w:hAnsi="黑体" w:eastAsia="黑体" w:cs="Times New Roman"/>
          <w:b/>
          <w:bCs/>
          <w:color w:val="333333"/>
          <w:kern w:val="0"/>
          <w:sz w:val="32"/>
          <w:szCs w:val="32"/>
        </w:rPr>
      </w:pPr>
      <w:r>
        <w:rPr>
          <w:rFonts w:ascii="黑体" w:hAnsi="黑体" w:eastAsia="黑体" w:cs="Times New Roman"/>
          <w:b/>
          <w:bCs/>
          <w:color w:val="333333"/>
          <w:kern w:val="0"/>
          <w:sz w:val="32"/>
          <w:szCs w:val="32"/>
        </w:rPr>
        <w:t>三、收到和处理政府信息公开申请情况</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855"/>
        <w:gridCol w:w="2130"/>
        <w:gridCol w:w="825"/>
        <w:gridCol w:w="765"/>
        <w:gridCol w:w="765"/>
        <w:gridCol w:w="825"/>
        <w:gridCol w:w="990"/>
        <w:gridCol w:w="720"/>
        <w:gridCol w:w="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（本列数据的勾稽关系为：第一项加第二项之和，等于第三项加第四项之和）</w:t>
            </w:r>
          </w:p>
        </w:tc>
        <w:tc>
          <w:tcPr>
            <w:tcW w:w="5592" w:type="dxa"/>
            <w:gridSpan w:val="7"/>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自然人</w:t>
            </w:r>
          </w:p>
        </w:tc>
        <w:tc>
          <w:tcPr>
            <w:tcW w:w="4065"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法人或其他组织</w:t>
            </w:r>
          </w:p>
        </w:tc>
        <w:tc>
          <w:tcPr>
            <w:tcW w:w="702"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2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商业企业</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科研机构</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社会公益组织</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法律服务机构</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w:t>
            </w:r>
          </w:p>
        </w:tc>
        <w:tc>
          <w:tcPr>
            <w:tcW w:w="702"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一、本年新收政府信息公开申请数量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二、上年结转政府信息公开申请数量</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三、本年度办理结果</w:t>
            </w: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（一）予以公开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（二）部分公开（区分处理的，只计这一情形，不计其他情形）</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（三）不予公开</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1.属于国家秘密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2.其他法律行政法规禁止公开</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3.危及“三安全一稳定”</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4.保护第三方合法权益</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5.属于三类内部事务信息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6.属于四类过程性信息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7.属于行政执法案卷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8.属于行政查询事项</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（四）无法提供</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1.本机关不掌握相关政府信息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2.没有现成信息需要另行制作</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3.补正后申请内容仍不明确</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（五）不予处理</w:t>
            </w: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1.信访举报投诉类申请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2.重复申请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3.要求提供公开出版物</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4.无正当理由大量反复申请</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855"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13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5.要求行政机关确认或重新出具已获取信息</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（六）其他处理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4" w:type="dxa"/>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2985" w:type="dxa"/>
            <w:gridSpan w:val="2"/>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楷体" w:hAnsi="楷体" w:eastAsia="楷体" w:cs="宋体"/>
                <w:color w:val="333333"/>
                <w:sz w:val="20"/>
                <w:szCs w:val="20"/>
              </w:rPr>
              <w:t>（七）总计</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9"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left"/>
              <w:rPr>
                <w:rFonts w:ascii="宋体" w:hAnsi="宋体" w:eastAsia="宋体" w:cs="宋体"/>
                <w:color w:val="333333"/>
                <w:kern w:val="0"/>
                <w:szCs w:val="21"/>
              </w:rPr>
            </w:pPr>
            <w:r>
              <w:rPr>
                <w:rFonts w:hint="eastAsia" w:ascii="Calibri" w:hAnsi="Calibri" w:eastAsia="宋体" w:cs="Times New Roman"/>
                <w:color w:val="333333"/>
                <w:sz w:val="20"/>
                <w:szCs w:val="20"/>
              </w:rPr>
              <w:t>四、结转下年度继续办理</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1</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6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82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99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p>
        </w:tc>
        <w:tc>
          <w:tcPr>
            <w:tcW w:w="72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702"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r>
    </w:tbl>
    <w:p>
      <w:pPr>
        <w:widowControl/>
        <w:spacing w:line="432" w:lineRule="auto"/>
        <w:ind w:firstLine="480"/>
        <w:rPr>
          <w:rFonts w:ascii="仿宋" w:hAnsi="仿宋" w:eastAsia="仿宋" w:cs="宋体"/>
          <w:color w:val="333333"/>
          <w:kern w:val="0"/>
          <w:sz w:val="32"/>
          <w:szCs w:val="32"/>
        </w:rPr>
      </w:pPr>
    </w:p>
    <w:p>
      <w:pPr>
        <w:widowControl/>
        <w:spacing w:line="432" w:lineRule="auto"/>
        <w:ind w:firstLine="480"/>
        <w:rPr>
          <w:rFonts w:ascii="黑体" w:hAnsi="黑体" w:eastAsia="黑体" w:cs="宋体"/>
          <w:color w:val="333333"/>
          <w:kern w:val="0"/>
          <w:sz w:val="32"/>
          <w:szCs w:val="32"/>
        </w:rPr>
      </w:pPr>
      <w:r>
        <w:rPr>
          <w:rFonts w:hint="eastAsia" w:ascii="黑体" w:hAnsi="黑体" w:eastAsia="黑体" w:cs="宋体"/>
          <w:color w:val="333333"/>
          <w:kern w:val="0"/>
          <w:sz w:val="32"/>
          <w:szCs w:val="32"/>
        </w:rPr>
        <w:t>四、政府信息公开行政复议、行政诉讼情况</w:t>
      </w:r>
    </w:p>
    <w:tbl>
      <w:tblPr>
        <w:tblStyle w:val="6"/>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604"/>
        <w:gridCol w:w="604"/>
        <w:gridCol w:w="604"/>
        <w:gridCol w:w="658"/>
        <w:gridCol w:w="550"/>
        <w:gridCol w:w="605"/>
        <w:gridCol w:w="605"/>
        <w:gridCol w:w="605"/>
        <w:gridCol w:w="605"/>
        <w:gridCol w:w="605"/>
        <w:gridCol w:w="605"/>
        <w:gridCol w:w="605"/>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74" w:type="dxa"/>
            <w:gridSpan w:val="5"/>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行政复议</w:t>
            </w:r>
          </w:p>
        </w:tc>
        <w:tc>
          <w:tcPr>
            <w:tcW w:w="5997" w:type="dxa"/>
            <w:gridSpan w:val="10"/>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vMerge w:val="restart"/>
            <w:tcBorders>
              <w:top w:val="nil"/>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4" w:type="dxa"/>
            <w:vMerge w:val="restart"/>
            <w:tcBorders>
              <w:top w:val="nil"/>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4"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58" w:type="dxa"/>
            <w:vMerge w:val="restart"/>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总计</w:t>
            </w:r>
          </w:p>
        </w:tc>
        <w:tc>
          <w:tcPr>
            <w:tcW w:w="2970"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未经复议直接起诉</w:t>
            </w:r>
          </w:p>
        </w:tc>
        <w:tc>
          <w:tcPr>
            <w:tcW w:w="3027" w:type="dxa"/>
            <w:gridSpan w:val="5"/>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Merge w:val="continue"/>
            <w:tcBorders>
              <w:top w:val="nil"/>
              <w:left w:val="single" w:color="auto" w:sz="4" w:space="0"/>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nil"/>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04"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0" w:type="auto"/>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658" w:type="dxa"/>
            <w:vMerge w:val="continue"/>
            <w:tcBorders>
              <w:top w:val="single" w:color="auto" w:sz="4" w:space="0"/>
              <w:left w:val="nil"/>
              <w:bottom w:val="single" w:color="auto" w:sz="4" w:space="0"/>
              <w:right w:val="single" w:color="auto" w:sz="4" w:space="0"/>
            </w:tcBorders>
            <w:vAlign w:val="center"/>
          </w:tcPr>
          <w:p>
            <w:pPr>
              <w:widowControl/>
              <w:spacing w:line="480" w:lineRule="auto"/>
              <w:jc w:val="left"/>
              <w:rPr>
                <w:rFonts w:ascii="宋体" w:hAnsi="宋体" w:eastAsia="宋体" w:cs="宋体"/>
                <w:color w:val="333333"/>
                <w:kern w:val="0"/>
                <w:szCs w:val="21"/>
              </w:rPr>
            </w:pP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其他结果</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总计</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结果维持</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结果纠正</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其他结果</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尚未审结</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4"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604"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w:t>
            </w:r>
            <w:r>
              <w:rPr>
                <w:rFonts w:ascii="Calibri" w:hAnsi="Calibri" w:eastAsia="宋体" w:cs="Times New Roman"/>
                <w:color w:val="333333"/>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ascii="Calibri" w:hAnsi="Calibri" w:eastAsia="宋体" w:cs="Times New Roman"/>
                <w:color w:val="333333"/>
                <w:sz w:val="20"/>
                <w:szCs w:val="20"/>
              </w:rPr>
              <w:t> </w:t>
            </w:r>
            <w:r>
              <w:rPr>
                <w:rFonts w:hint="eastAsia" w:ascii="Calibri" w:hAnsi="Calibri" w:eastAsia="宋体" w:cs="Times New Roman"/>
                <w:color w:val="333333"/>
                <w:sz w:val="20"/>
                <w:szCs w:val="20"/>
              </w:rPr>
              <w:t>0</w:t>
            </w:r>
          </w:p>
        </w:tc>
        <w:tc>
          <w:tcPr>
            <w:tcW w:w="550"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0 </w:t>
            </w:r>
          </w:p>
        </w:tc>
        <w:tc>
          <w:tcPr>
            <w:tcW w:w="605"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000000"/>
                <w:kern w:val="0"/>
                <w:sz w:val="20"/>
                <w:szCs w:val="20"/>
              </w:rPr>
              <w:t> 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Calibri" w:hAnsi="Calibri" w:eastAsia="宋体" w:cs="Times New Roman"/>
                <w:color w:val="333333"/>
                <w:sz w:val="20"/>
                <w:szCs w:val="20"/>
              </w:rPr>
              <w:t> 0</w:t>
            </w:r>
          </w:p>
        </w:tc>
        <w:tc>
          <w:tcPr>
            <w:tcW w:w="606" w:type="dxa"/>
            <w:tcBorders>
              <w:top w:val="single" w:color="auto" w:sz="4" w:space="0"/>
              <w:left w:val="nil"/>
              <w:bottom w:val="single" w:color="auto" w:sz="4" w:space="0"/>
              <w:right w:val="single" w:color="auto" w:sz="4" w:space="0"/>
            </w:tcBorders>
            <w:vAlign w:val="center"/>
          </w:tcPr>
          <w:p>
            <w:pPr>
              <w:widowControl/>
              <w:spacing w:before="100" w:beforeAutospacing="1" w:after="180" w:line="480" w:lineRule="auto"/>
              <w:jc w:val="center"/>
              <w:rPr>
                <w:rFonts w:ascii="宋体" w:hAnsi="宋体" w:eastAsia="宋体" w:cs="宋体"/>
                <w:color w:val="333333"/>
                <w:kern w:val="0"/>
                <w:szCs w:val="21"/>
              </w:rPr>
            </w:pPr>
            <w:r>
              <w:rPr>
                <w:rFonts w:hint="eastAsia" w:ascii="宋体" w:hAnsi="宋体" w:eastAsia="宋体" w:cs="宋体"/>
                <w:color w:val="333333"/>
                <w:kern w:val="0"/>
                <w:szCs w:val="21"/>
              </w:rPr>
              <w:t>0</w:t>
            </w:r>
          </w:p>
        </w:tc>
      </w:tr>
    </w:tbl>
    <w:p>
      <w:pPr>
        <w:widowControl/>
        <w:spacing w:line="432" w:lineRule="auto"/>
        <w:rPr>
          <w:rFonts w:ascii="Times New Roman" w:hAnsi="Times New Roman" w:eastAsia="宋体" w:cs="Times New Roman"/>
          <w:color w:val="333333"/>
          <w:kern w:val="0"/>
          <w:sz w:val="32"/>
          <w:szCs w:val="32"/>
        </w:rPr>
      </w:pPr>
    </w:p>
    <w:p>
      <w:pPr>
        <w:widowControl/>
        <w:spacing w:line="432" w:lineRule="auto"/>
        <w:ind w:firstLine="480"/>
        <w:rPr>
          <w:rFonts w:ascii="黑体" w:hAnsi="黑体" w:eastAsia="黑体" w:cs="Times New Roman"/>
          <w:color w:val="333333"/>
          <w:kern w:val="0"/>
          <w:sz w:val="32"/>
          <w:szCs w:val="32"/>
        </w:rPr>
      </w:pPr>
      <w:r>
        <w:rPr>
          <w:rFonts w:ascii="黑体" w:hAnsi="黑体" w:eastAsia="黑体" w:cs="Times New Roman"/>
          <w:color w:val="333333"/>
          <w:kern w:val="0"/>
          <w:sz w:val="32"/>
          <w:szCs w:val="32"/>
        </w:rPr>
        <w:t>五、存在的主要问题及改进情况</w:t>
      </w:r>
    </w:p>
    <w:p>
      <w:pPr>
        <w:spacing w:line="560" w:lineRule="exact"/>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（一）及时快速更新难度较大。政府信息涉及面多量大，由于办公室人手较少，从事专职信息公开人员不多，有些重要信息就很难按要求及时快速</w:t>
      </w:r>
      <w:r>
        <w:rPr>
          <w:rFonts w:hint="eastAsia" w:ascii="仿宋_GB2312" w:eastAsia="仿宋_GB2312"/>
          <w:color w:val="000000"/>
          <w:sz w:val="32"/>
          <w:szCs w:val="32"/>
          <w:shd w:val="clear" w:color="auto" w:fill="FFFFFF"/>
          <w:lang w:eastAsia="zh-CN"/>
        </w:rPr>
        <w:t>地</w:t>
      </w:r>
      <w:r>
        <w:rPr>
          <w:rFonts w:hint="eastAsia" w:ascii="仿宋_GB2312" w:eastAsia="仿宋_GB2312"/>
          <w:color w:val="000000"/>
          <w:sz w:val="32"/>
          <w:szCs w:val="32"/>
          <w:shd w:val="clear" w:color="auto" w:fill="FFFFFF"/>
        </w:rPr>
        <w:t>更新。</w:t>
      </w:r>
    </w:p>
    <w:p>
      <w:pPr>
        <w:spacing w:line="560" w:lineRule="exact"/>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二）公开尺度难以掌握。尽管我们明确了不予公开的政府信息，但具体到各部门，如何根据信息不同性质制定不同的保密级别仍有大量的工作要做。有些信息是群众想知道的，但依据有关法律法规只能部分公开，对应予公开的信息定性不准，尺度难以掌握。</w:t>
      </w:r>
    </w:p>
    <w:p>
      <w:pPr>
        <w:spacing w:line="560" w:lineRule="exact"/>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（三）信息化人员专业技术有待进一步提高。信息管理与维护工作非常重要，技术性要求高，信息化人员专业技术有待进一步提高。</w:t>
      </w:r>
      <w:bookmarkStart w:id="0" w:name="_GoBack"/>
      <w:bookmarkEnd w:id="0"/>
    </w:p>
    <w:p>
      <w:pPr>
        <w:spacing w:line="560" w:lineRule="exact"/>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针对存在的问题，我局将继续把政府信息公开工作摆在重中之重的位置，对工作中存在的问题从以下方面进行整改：</w:t>
      </w:r>
    </w:p>
    <w:p>
      <w:pPr>
        <w:spacing w:line="560" w:lineRule="exact"/>
        <w:ind w:firstLine="643" w:firstLineChars="200"/>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一是</w:t>
      </w:r>
      <w:r>
        <w:rPr>
          <w:rFonts w:hint="eastAsia" w:ascii="仿宋_GB2312" w:eastAsia="仿宋_GB2312"/>
          <w:color w:val="000000"/>
          <w:sz w:val="32"/>
          <w:szCs w:val="32"/>
          <w:shd w:val="clear" w:color="auto" w:fill="FFFFFF"/>
        </w:rPr>
        <w:t>加大宣传力度，努力营造政府信息公开的良好氛围。开展多种形式的宣传活动，让更多的人员了解政府信息公开的情况，争取得到理解与支持。同时加大督办力度，督促各相关处室（单位）梳理信息目录，做好分类公开的各项工作，及时公布信息，切实做到信息公开的内容达到政府要求。</w:t>
      </w:r>
    </w:p>
    <w:p>
      <w:pPr>
        <w:spacing w:line="560" w:lineRule="exact"/>
        <w:ind w:firstLine="643" w:firstLineChars="200"/>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二是</w:t>
      </w:r>
      <w:r>
        <w:rPr>
          <w:rFonts w:hint="eastAsia" w:ascii="仿宋_GB2312" w:eastAsia="仿宋_GB2312"/>
          <w:color w:val="000000"/>
          <w:sz w:val="32"/>
          <w:szCs w:val="32"/>
          <w:shd w:val="clear" w:color="auto" w:fill="FFFFFF"/>
        </w:rPr>
        <w:t>加大公开力度，切实丰富政府信息公开的内容。按照政府信息公开工作的要求，加强与相关部门联系，努力做到政府信息公开的内容不断充实和完善。</w:t>
      </w:r>
    </w:p>
    <w:p>
      <w:pPr>
        <w:spacing w:line="560" w:lineRule="exact"/>
        <w:ind w:firstLine="643" w:firstLineChars="200"/>
        <w:rPr>
          <w:rFonts w:ascii="仿宋_GB2312" w:eastAsia="仿宋_GB2312"/>
          <w:color w:val="000000"/>
          <w:sz w:val="32"/>
          <w:szCs w:val="32"/>
          <w:shd w:val="clear" w:color="auto" w:fill="FFFFFF"/>
        </w:rPr>
      </w:pPr>
      <w:r>
        <w:rPr>
          <w:rFonts w:hint="eastAsia" w:ascii="仿宋_GB2312" w:eastAsia="仿宋_GB2312"/>
          <w:b/>
          <w:bCs/>
          <w:color w:val="000000"/>
          <w:sz w:val="32"/>
          <w:szCs w:val="32"/>
          <w:shd w:val="clear" w:color="auto" w:fill="FFFFFF"/>
        </w:rPr>
        <w:t>三是</w:t>
      </w:r>
      <w:r>
        <w:rPr>
          <w:rFonts w:hint="eastAsia" w:ascii="仿宋_GB2312" w:eastAsia="仿宋_GB2312"/>
          <w:color w:val="000000"/>
          <w:sz w:val="32"/>
          <w:szCs w:val="32"/>
          <w:shd w:val="clear" w:color="auto" w:fill="FFFFFF"/>
        </w:rPr>
        <w:t>加强督促检查力度，努力达到预期效果。进一步加强对政府信息公开的指导和督促检查，建立健全各项规章制度，确保我局政府信息公开工作全面、有效、顺利实施。</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72561279"/>
    </w:sdtPr>
    <w:sdtEndPr>
      <w:rPr>
        <w:rFonts w:ascii="Times New Roman" w:hAnsi="Times New Roman" w:cs="Times New Roman"/>
        <w:sz w:val="24"/>
        <w:szCs w:val="24"/>
      </w:rPr>
    </w:sdtEndPr>
    <w:sdtContent>
      <w:p>
        <w:pPr>
          <w:pStyle w:val="3"/>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085E"/>
    <w:rsid w:val="00065171"/>
    <w:rsid w:val="00185514"/>
    <w:rsid w:val="002A4574"/>
    <w:rsid w:val="00312B43"/>
    <w:rsid w:val="0035156C"/>
    <w:rsid w:val="00377A35"/>
    <w:rsid w:val="00380CB2"/>
    <w:rsid w:val="003C4AC8"/>
    <w:rsid w:val="00433297"/>
    <w:rsid w:val="00437101"/>
    <w:rsid w:val="00470595"/>
    <w:rsid w:val="004E7C62"/>
    <w:rsid w:val="00526258"/>
    <w:rsid w:val="005B4088"/>
    <w:rsid w:val="006A7770"/>
    <w:rsid w:val="00726FD2"/>
    <w:rsid w:val="0076085E"/>
    <w:rsid w:val="00872871"/>
    <w:rsid w:val="00A01BBE"/>
    <w:rsid w:val="00A4219F"/>
    <w:rsid w:val="00BC4959"/>
    <w:rsid w:val="00C066C0"/>
    <w:rsid w:val="00DC42E4"/>
    <w:rsid w:val="00E20305"/>
    <w:rsid w:val="170E7505"/>
    <w:rsid w:val="1AE77C65"/>
    <w:rsid w:val="1C0E7EC5"/>
    <w:rsid w:val="26F25C23"/>
    <w:rsid w:val="47A27880"/>
    <w:rsid w:val="4D5E0199"/>
    <w:rsid w:val="617377E2"/>
    <w:rsid w:val="76D23023"/>
    <w:rsid w:val="79B605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rFonts w:cs="Times New Roman"/>
      <w:kern w:val="0"/>
      <w:sz w:val="24"/>
    </w:rPr>
  </w:style>
  <w:style w:type="character" w:customStyle="1" w:styleId="8">
    <w:name w:val="批注框文本 Char"/>
    <w:basedOn w:val="7"/>
    <w:link w:val="2"/>
    <w:uiPriority w:val="0"/>
    <w:rPr>
      <w:rFonts w:asciiTheme="minorHAnsi" w:hAnsiTheme="minorHAnsi" w:eastAsiaTheme="minorEastAsia" w:cstheme="minorBidi"/>
      <w:kern w:val="2"/>
      <w:sz w:val="18"/>
      <w:szCs w:val="18"/>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396</Words>
  <Characters>2259</Characters>
  <Lines>18</Lines>
  <Paragraphs>5</Paragraphs>
  <TotalTime>2</TotalTime>
  <ScaleCrop>false</ScaleCrop>
  <LinksUpToDate>false</LinksUpToDate>
  <CharactersWithSpaces>2650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2019-12-30T02:12:00Z</cp:lastPrinted>
  <dcterms:modified xsi:type="dcterms:W3CDTF">2020-01-31T06:04:25Z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