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 w:cs="Times New Roman"/>
          <w:sz w:val="32"/>
          <w:szCs w:val="32"/>
        </w:rPr>
      </w:pPr>
      <w:r>
        <w:rPr>
          <w:rFonts w:hint="eastAsia" w:ascii="Times New Roman" w:hAnsi="Times New Roman" w:eastAsia="仿宋" w:cs="Times New Roman"/>
          <w:sz w:val="32"/>
          <w:szCs w:val="32"/>
        </w:rPr>
        <w:t>附件：</w:t>
      </w:r>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银州区审计局2019年度政府信息公开工作年度报告</w:t>
      </w:r>
    </w:p>
    <w:p>
      <w:pPr>
        <w:rPr>
          <w:rFonts w:hint="eastAsia" w:ascii="黑体" w:hAnsi="黑体" w:eastAsia="黑体" w:cs="黑体"/>
          <w:sz w:val="32"/>
          <w:szCs w:val="32"/>
          <w:lang w:eastAsia="zh-CN"/>
        </w:rPr>
      </w:pPr>
      <w:r>
        <w:rPr>
          <w:rFonts w:hint="eastAsia" w:ascii="黑体" w:hAnsi="黑体" w:eastAsia="黑体" w:cs="黑体"/>
          <w:sz w:val="32"/>
          <w:szCs w:val="32"/>
          <w:lang w:eastAsia="zh-CN"/>
        </w:rPr>
        <w:t>报送单位：</w:t>
      </w:r>
      <w:r>
        <w:rPr>
          <w:rFonts w:hint="eastAsia" w:ascii="黑体" w:hAnsi="黑体" w:eastAsia="黑体" w:cs="Times New Roman"/>
          <w:sz w:val="32"/>
          <w:szCs w:val="32"/>
          <w:lang w:val="en-US" w:eastAsia="zh-CN"/>
        </w:rPr>
        <w:t>银州区审计局</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一、总体情况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黑体"/>
          <w:sz w:val="32"/>
          <w:szCs w:val="32"/>
          <w:lang w:eastAsia="zh-CN"/>
        </w:rPr>
      </w:pPr>
      <w:r>
        <w:rPr>
          <w:rFonts w:hint="eastAsia" w:ascii="黑体" w:hAnsi="黑体" w:eastAsia="黑体" w:cs="Times New Roman"/>
          <w:sz w:val="32"/>
          <w:szCs w:val="32"/>
          <w:lang w:val="en-US" w:eastAsia="zh-CN"/>
        </w:rPr>
        <w:t>银州区审计局行政编制10人，其中公务员8名，工勤人员1名。局长1名，副局长2名，总审计师1名</w:t>
      </w:r>
      <w:r>
        <w:rPr>
          <w:rFonts w:hint="eastAsia" w:eastAsia="黑体"/>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lang w:eastAsia="zh-CN"/>
        </w:rPr>
      </w:pPr>
      <w:r>
        <w:rPr>
          <w:rFonts w:hint="eastAsia"/>
          <w:sz w:val="32"/>
          <w:szCs w:val="32"/>
          <w:lang w:eastAsia="zh-CN"/>
        </w:rPr>
        <w:t>主要职能：</w:t>
      </w:r>
      <w:r>
        <w:rPr>
          <w:rFonts w:hint="eastAsia"/>
          <w:sz w:val="32"/>
          <w:szCs w:val="32"/>
        </w:rPr>
        <w:t>主管全区审计工作。负责对区级财政收支和法律法规规定属于审计监督范围的财务收支的真实、合法和效益进行审计监督，对公共资金、国有资产、国有资源和领导</w:t>
      </w:r>
      <w:r>
        <w:rPr>
          <w:rFonts w:hint="eastAsia"/>
          <w:sz w:val="32"/>
          <w:szCs w:val="32"/>
          <w:lang w:eastAsia="zh-CN"/>
        </w:rPr>
        <w:t>干</w:t>
      </w:r>
      <w:r>
        <w:rPr>
          <w:rFonts w:hint="eastAsia"/>
          <w:sz w:val="32"/>
          <w:szCs w:val="32"/>
        </w:rPr>
        <w:t>部履行经济责任情况实行审计全覆盖，对领导干部实行自然资源资产离任审计，对国家和省、市、</w:t>
      </w:r>
      <w:bookmarkStart w:id="0" w:name="_GoBack"/>
      <w:bookmarkEnd w:id="0"/>
      <w:r>
        <w:rPr>
          <w:rFonts w:hint="eastAsia"/>
          <w:sz w:val="32"/>
          <w:szCs w:val="32"/>
        </w:rPr>
        <w:t>区有关重大政策措施落实情况进行跟踪审计。对审计、专项审计调查和核查社会审计机构相关审计报告的结果承担责任，并负有督促检查被审计单位整改的责任</w:t>
      </w:r>
      <w:r>
        <w:rPr>
          <w:rFonts w:hint="eastAsia"/>
          <w:sz w:val="32"/>
          <w:szCs w:val="32"/>
          <w:lang w:eastAsia="zh-CN"/>
        </w:rPr>
        <w:t>。</w:t>
      </w:r>
      <w:r>
        <w:rPr>
          <w:rFonts w:hint="eastAsia"/>
          <w:sz w:val="32"/>
          <w:szCs w:val="32"/>
        </w:rPr>
        <w:t>完成区委、区政府和区委审计委员会交办的其他任务</w:t>
      </w:r>
      <w:r>
        <w:rPr>
          <w:rFonts w:hint="eastAsia"/>
          <w:sz w:val="32"/>
          <w:szCs w:val="32"/>
          <w:lang w:eastAsia="zh-CN"/>
        </w:rPr>
        <w:t>。</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二、主动公开政府信息情况</w:t>
      </w:r>
    </w:p>
    <w:tbl>
      <w:tblPr>
        <w:tblStyle w:val="3"/>
        <w:tblW w:w="8140" w:type="dxa"/>
        <w:jc w:val="center"/>
        <w:tblLayout w:type="autofit"/>
        <w:tblCellMar>
          <w:top w:w="0" w:type="dxa"/>
          <w:left w:w="108" w:type="dxa"/>
          <w:bottom w:w="0" w:type="dxa"/>
          <w:right w:w="108" w:type="dxa"/>
        </w:tblCellMar>
      </w:tblPr>
      <w:tblGrid>
        <w:gridCol w:w="3113"/>
        <w:gridCol w:w="1875"/>
        <w:gridCol w:w="6"/>
        <w:gridCol w:w="1265"/>
        <w:gridCol w:w="1881"/>
      </w:tblGrid>
      <w:tr>
        <w:tblPrEx>
          <w:tblCellMar>
            <w:top w:w="0" w:type="dxa"/>
            <w:left w:w="108" w:type="dxa"/>
            <w:bottom w:w="0" w:type="dxa"/>
            <w:right w:w="108" w:type="dxa"/>
          </w:tblCellMar>
        </w:tblPrEx>
        <w:trPr>
          <w:trHeight w:val="495"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第二十条第（一）项</w:t>
            </w:r>
          </w:p>
        </w:tc>
      </w:tr>
      <w:tr>
        <w:tblPrEx>
          <w:tblCellMar>
            <w:top w:w="0" w:type="dxa"/>
            <w:left w:w="108" w:type="dxa"/>
            <w:bottom w:w="0" w:type="dxa"/>
            <w:right w:w="108" w:type="dxa"/>
          </w:tblCellMar>
        </w:tblPrEx>
        <w:trPr>
          <w:trHeight w:val="882"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制作数量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公开数量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对外公开总数量</w:t>
            </w:r>
          </w:p>
        </w:tc>
      </w:tr>
      <w:tr>
        <w:tblPrEx>
          <w:tblCellMar>
            <w:top w:w="0" w:type="dxa"/>
            <w:left w:w="108" w:type="dxa"/>
            <w:bottom w:w="0" w:type="dxa"/>
            <w:right w:w="108" w:type="dxa"/>
          </w:tblCellMar>
        </w:tblPrEx>
        <w:trPr>
          <w:trHeight w:val="523"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规章</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xml:space="preserve">  </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Calibri" w:eastAsia="宋体" w:cs="Times New Roman"/>
                <w:color w:val="000000"/>
                <w:kern w:val="0"/>
                <w:sz w:val="20"/>
                <w:szCs w:val="20"/>
              </w:rPr>
              <w:t> </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47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规范性文件</w:t>
            </w:r>
          </w:p>
        </w:tc>
        <w:tc>
          <w:tcPr>
            <w:tcW w:w="187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xml:space="preserve">  </w:t>
            </w:r>
          </w:p>
        </w:tc>
        <w:tc>
          <w:tcPr>
            <w:tcW w:w="1271" w:type="dxa"/>
            <w:gridSpan w:val="2"/>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Calibri" w:eastAsia="宋体" w:cs="Times New Roman"/>
                <w:color w:val="000000"/>
                <w:kern w:val="0"/>
                <w:sz w:val="20"/>
                <w:szCs w:val="20"/>
              </w:rPr>
              <w:t> </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480"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第二十条第（五）项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528"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行政许可</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55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其他对外管理服务事项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40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第二十条第（六）项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43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行政处罚</w:t>
            </w:r>
          </w:p>
        </w:tc>
        <w:tc>
          <w:tcPr>
            <w:tcW w:w="1881" w:type="dxa"/>
            <w:gridSpan w:val="2"/>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126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40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行政强制</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474"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第二十条第（八）项</w:t>
            </w:r>
          </w:p>
        </w:tc>
      </w:tr>
      <w:tr>
        <w:tblPrEx>
          <w:tblCellMar>
            <w:top w:w="0" w:type="dxa"/>
            <w:left w:w="108" w:type="dxa"/>
            <w:bottom w:w="0" w:type="dxa"/>
            <w:right w:w="108" w:type="dxa"/>
          </w:tblCellMar>
        </w:tblPrEx>
        <w:trPr>
          <w:trHeight w:val="27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本年增/减</w:t>
            </w:r>
          </w:p>
        </w:tc>
      </w:tr>
      <w:tr>
        <w:tblPrEx>
          <w:tblCellMar>
            <w:top w:w="0" w:type="dxa"/>
            <w:left w:w="108" w:type="dxa"/>
            <w:bottom w:w="0" w:type="dxa"/>
            <w:right w:w="108" w:type="dxa"/>
          </w:tblCellMar>
        </w:tblPrEx>
        <w:trPr>
          <w:trHeight w:val="55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行政事业性收费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Calibri" w:eastAsia="宋体" w:cs="Times New Roman"/>
                <w:color w:val="000000"/>
                <w:kern w:val="0"/>
                <w:sz w:val="20"/>
                <w:szCs w:val="20"/>
              </w:rPr>
              <w:t> </w:t>
            </w:r>
          </w:p>
        </w:tc>
      </w:tr>
      <w:tr>
        <w:tblPrEx>
          <w:tblCellMar>
            <w:top w:w="0" w:type="dxa"/>
            <w:left w:w="108" w:type="dxa"/>
            <w:bottom w:w="0" w:type="dxa"/>
            <w:right w:w="108" w:type="dxa"/>
          </w:tblCellMar>
        </w:tblPrEx>
        <w:trPr>
          <w:trHeight w:val="47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第二十条第（九）项</w:t>
            </w:r>
          </w:p>
        </w:tc>
      </w:tr>
      <w:tr>
        <w:tblPrEx>
          <w:tblCellMar>
            <w:top w:w="0" w:type="dxa"/>
            <w:left w:w="108" w:type="dxa"/>
            <w:bottom w:w="0" w:type="dxa"/>
            <w:right w:w="108" w:type="dxa"/>
          </w:tblCellMar>
        </w:tblPrEx>
        <w:trPr>
          <w:trHeight w:val="585"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采购项目数量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采购总金额</w:t>
            </w:r>
          </w:p>
        </w:tc>
      </w:tr>
      <w:tr>
        <w:tblPrEx>
          <w:tblCellMar>
            <w:top w:w="0" w:type="dxa"/>
            <w:left w:w="108" w:type="dxa"/>
            <w:bottom w:w="0" w:type="dxa"/>
            <w:right w:w="108" w:type="dxa"/>
          </w:tblCellMar>
        </w:tblPrEx>
        <w:trPr>
          <w:trHeight w:val="53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政府集中采购</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left"/>
              <w:rPr>
                <w:rFonts w:hint="eastAsia" w:ascii="宋体" w:hAnsi="宋体" w:eastAsia="宋体" w:cs="宋体"/>
                <w:color w:val="333333"/>
                <w:kern w:val="0"/>
                <w:szCs w:val="21"/>
              </w:rPr>
            </w:pPr>
          </w:p>
        </w:tc>
      </w:tr>
    </w:tbl>
    <w:p>
      <w:pPr>
        <w:widowControl/>
        <w:spacing w:line="432" w:lineRule="auto"/>
        <w:ind w:firstLine="480"/>
        <w:rPr>
          <w:rFonts w:ascii="Times New Roman" w:hAnsi="Times New Roman" w:eastAsia="仿宋" w:cs="Times New Roman"/>
          <w:color w:val="333333"/>
          <w:kern w:val="0"/>
          <w:sz w:val="32"/>
          <w:szCs w:val="32"/>
        </w:rPr>
      </w:pPr>
    </w:p>
    <w:p>
      <w:pPr>
        <w:ind w:firstLine="643" w:firstLineChars="200"/>
        <w:rPr>
          <w:rFonts w:ascii="黑体" w:hAnsi="黑体" w:eastAsia="黑体" w:cs="Times New Roman"/>
          <w:b/>
          <w:bCs/>
          <w:color w:val="333333"/>
          <w:kern w:val="0"/>
          <w:sz w:val="32"/>
          <w:szCs w:val="32"/>
        </w:rPr>
      </w:pPr>
      <w:r>
        <w:rPr>
          <w:rFonts w:ascii="黑体" w:hAnsi="黑体" w:eastAsia="黑体" w:cs="Times New Roman"/>
          <w:b/>
          <w:bCs/>
          <w:color w:val="333333"/>
          <w:kern w:val="0"/>
          <w:sz w:val="32"/>
          <w:szCs w:val="32"/>
        </w:rPr>
        <w:t>三、收到和处理政府信息公开申请情况</w:t>
      </w:r>
    </w:p>
    <w:tbl>
      <w:tblPr>
        <w:tblStyle w:val="3"/>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855"/>
        <w:gridCol w:w="2130"/>
        <w:gridCol w:w="825"/>
        <w:gridCol w:w="765"/>
        <w:gridCol w:w="765"/>
        <w:gridCol w:w="825"/>
        <w:gridCol w:w="990"/>
        <w:gridCol w:w="720"/>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（本列数据的勾稽关系为：第一项加第二项之和，等于第三项加第四项之和）</w:t>
            </w:r>
          </w:p>
        </w:tc>
        <w:tc>
          <w:tcPr>
            <w:tcW w:w="5592" w:type="dxa"/>
            <w:gridSpan w:val="7"/>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申请人情况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自然人</w:t>
            </w:r>
          </w:p>
        </w:tc>
        <w:tc>
          <w:tcPr>
            <w:tcW w:w="4065"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法人或其他组织</w:t>
            </w:r>
          </w:p>
        </w:tc>
        <w:tc>
          <w:tcPr>
            <w:tcW w:w="702"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商业企业</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科研机构</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社会公益组织</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法律服务机构</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w:t>
            </w:r>
          </w:p>
        </w:tc>
        <w:tc>
          <w:tcPr>
            <w:tcW w:w="702"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一、本年新收政府信息公开申请数量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二、上年结转政府信息公开申请数量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三、本年度办理结果</w:t>
            </w: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（一）予以公开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（二）部分公开（区分处理的，只计这一情形，不计其他情形）</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（三）不予公开</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1.属于国家秘密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2.其他法律行政法规禁止公开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3.危及“三安全一稳定”</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4.保护第三方合法权益</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5.属于三类内部事务信息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6.属于四类过程性信息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7.属于行政执法案卷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8.属于行政查询事项</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（四）无法提供</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1.本机关不掌握相关政府信息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2.没有现成信息需要另行制作</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3.补正后申请内容仍不明确</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（五）不予处理</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1.信访举报投诉类申请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2.重复申请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3.要求提供公开出版物</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4.无正当理由大量反复申请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5.要求行政机关确认或重新出具已获取信息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（六）其他处理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楷体" w:hAnsi="楷体" w:eastAsia="楷体" w:cs="宋体"/>
                <w:color w:val="333333"/>
                <w:sz w:val="20"/>
                <w:szCs w:val="20"/>
              </w:rPr>
              <w:t>（七）总计</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hint="eastAsia" w:ascii="宋体" w:hAnsi="宋体" w:eastAsia="宋体" w:cs="宋体"/>
                <w:color w:val="333333"/>
                <w:kern w:val="0"/>
                <w:szCs w:val="21"/>
              </w:rPr>
            </w:pPr>
            <w:r>
              <w:rPr>
                <w:rFonts w:hint="eastAsia" w:ascii="Calibri" w:hAnsi="Calibri" w:eastAsia="宋体" w:cs="Times New Roman"/>
                <w:color w:val="333333"/>
                <w:sz w:val="20"/>
                <w:szCs w:val="20"/>
              </w:rPr>
              <w:t>四、结转下年度继续办理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p>
        </w:tc>
      </w:tr>
    </w:tbl>
    <w:p>
      <w:pPr>
        <w:widowControl/>
        <w:spacing w:line="432" w:lineRule="auto"/>
        <w:ind w:firstLine="480"/>
        <w:rPr>
          <w:rFonts w:ascii="仿宋" w:hAnsi="仿宋" w:eastAsia="仿宋" w:cs="宋体"/>
          <w:color w:val="333333"/>
          <w:kern w:val="0"/>
          <w:sz w:val="32"/>
          <w:szCs w:val="32"/>
        </w:rPr>
      </w:pPr>
    </w:p>
    <w:p>
      <w:pPr>
        <w:widowControl/>
        <w:spacing w:line="432" w:lineRule="auto"/>
        <w:ind w:firstLine="480"/>
        <w:rPr>
          <w:rFonts w:hint="eastAsia" w:ascii="仿宋" w:hAnsi="仿宋" w:eastAsia="仿宋" w:cs="宋体"/>
          <w:color w:val="333333"/>
          <w:kern w:val="0"/>
          <w:sz w:val="32"/>
          <w:szCs w:val="32"/>
        </w:rPr>
      </w:pPr>
    </w:p>
    <w:p>
      <w:pPr>
        <w:widowControl/>
        <w:spacing w:line="432" w:lineRule="auto"/>
        <w:ind w:firstLine="480"/>
        <w:rPr>
          <w:rFonts w:hint="eastAsia" w:ascii="黑体" w:hAnsi="黑体" w:eastAsia="黑体" w:cs="宋体"/>
          <w:color w:val="333333"/>
          <w:kern w:val="0"/>
          <w:sz w:val="32"/>
          <w:szCs w:val="32"/>
        </w:rPr>
      </w:pPr>
      <w:r>
        <w:rPr>
          <w:rFonts w:hint="eastAsia" w:ascii="黑体" w:hAnsi="黑体" w:eastAsia="黑体" w:cs="宋体"/>
          <w:color w:val="333333"/>
          <w:kern w:val="0"/>
          <w:sz w:val="32"/>
          <w:szCs w:val="32"/>
        </w:rPr>
        <w:t>四、政府信息公开行政复议、行政诉讼情况</w:t>
      </w:r>
    </w:p>
    <w:tbl>
      <w:tblPr>
        <w:tblStyle w:val="3"/>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604"/>
        <w:gridCol w:w="604"/>
        <w:gridCol w:w="604"/>
        <w:gridCol w:w="658"/>
        <w:gridCol w:w="550"/>
        <w:gridCol w:w="605"/>
        <w:gridCol w:w="605"/>
        <w:gridCol w:w="605"/>
        <w:gridCol w:w="605"/>
        <w:gridCol w:w="605"/>
        <w:gridCol w:w="605"/>
        <w:gridCol w:w="605"/>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gridSpan w:val="5"/>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行政复议</w:t>
            </w:r>
          </w:p>
        </w:tc>
        <w:tc>
          <w:tcPr>
            <w:tcW w:w="5997" w:type="dxa"/>
            <w:gridSpan w:val="10"/>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行政诉讼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4"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58"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总计</w:t>
            </w:r>
          </w:p>
        </w:tc>
        <w:tc>
          <w:tcPr>
            <w:tcW w:w="2970"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未经复议直接起诉</w:t>
            </w:r>
          </w:p>
        </w:tc>
        <w:tc>
          <w:tcPr>
            <w:tcW w:w="3027"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复议后起诉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总计</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其他结果</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658"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ascii="Calibri" w:hAnsi="Calibri" w:eastAsia="宋体" w:cs="Times New Roman"/>
                <w:color w:val="333333"/>
                <w:sz w:val="20"/>
                <w:szCs w:val="20"/>
              </w:rPr>
              <w:t> </w:t>
            </w: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宋体" w:hAnsi="宋体" w:eastAsia="宋体" w:cs="宋体"/>
                <w:color w:val="000000"/>
                <w:kern w:val="0"/>
                <w:sz w:val="20"/>
                <w:szCs w:val="20"/>
              </w:rPr>
              <w:t> </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r>
              <w:rPr>
                <w:rFonts w:hint="eastAsia" w:ascii="Calibri" w:hAnsi="Calibri" w:eastAsia="宋体" w:cs="Times New Roman"/>
                <w:color w:val="333333"/>
                <w:sz w:val="20"/>
                <w:szCs w:val="20"/>
              </w:rPr>
              <w:t> </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hint="eastAsia" w:ascii="宋体" w:hAnsi="宋体" w:eastAsia="宋体" w:cs="宋体"/>
                <w:color w:val="333333"/>
                <w:kern w:val="0"/>
                <w:szCs w:val="21"/>
              </w:rPr>
            </w:pPr>
          </w:p>
        </w:tc>
      </w:tr>
    </w:tbl>
    <w:p>
      <w:pPr>
        <w:widowControl/>
        <w:spacing w:line="432" w:lineRule="auto"/>
        <w:jc w:val="center"/>
        <w:rPr>
          <w:rFonts w:ascii="Times New Roman" w:hAnsi="Times New Roman" w:eastAsia="宋体" w:cs="Times New Roman"/>
          <w:color w:val="333333"/>
          <w:kern w:val="0"/>
          <w:sz w:val="32"/>
          <w:szCs w:val="32"/>
        </w:rPr>
      </w:pPr>
    </w:p>
    <w:p>
      <w:pPr>
        <w:widowControl/>
        <w:spacing w:line="432" w:lineRule="auto"/>
        <w:ind w:firstLine="480"/>
        <w:rPr>
          <w:rFonts w:ascii="黑体" w:hAnsi="黑体" w:eastAsia="黑体" w:cs="Times New Roman"/>
          <w:color w:val="333333"/>
          <w:kern w:val="0"/>
          <w:sz w:val="32"/>
          <w:szCs w:val="32"/>
        </w:rPr>
      </w:pPr>
      <w:r>
        <w:rPr>
          <w:rFonts w:ascii="黑体" w:hAnsi="黑体" w:eastAsia="黑体" w:cs="Times New Roman"/>
          <w:color w:val="333333"/>
          <w:kern w:val="0"/>
          <w:sz w:val="32"/>
          <w:szCs w:val="32"/>
        </w:rPr>
        <w:t>五、存在的主要问题及改进情况</w:t>
      </w:r>
    </w:p>
    <w:p>
      <w:pPr>
        <w:widowControl/>
        <w:spacing w:line="432" w:lineRule="auto"/>
        <w:ind w:firstLine="480"/>
        <w:rPr>
          <w:rFonts w:ascii="黑体" w:hAnsi="黑体" w:eastAsia="黑体" w:cs="Times New Roman"/>
          <w:color w:val="333333"/>
          <w:kern w:val="0"/>
          <w:sz w:val="32"/>
          <w:szCs w:val="32"/>
        </w:rPr>
      </w:pPr>
      <w:r>
        <w:rPr>
          <w:rFonts w:ascii="仿宋" w:hAnsi="仿宋" w:eastAsia="仿宋" w:cs="Times New Roman"/>
          <w:color w:val="333333"/>
          <w:kern w:val="0"/>
          <w:sz w:val="32"/>
          <w:szCs w:val="32"/>
        </w:rPr>
        <w:t>（文字描述）</w:t>
      </w:r>
    </w:p>
    <w:p>
      <w:pPr>
        <w:widowControl/>
        <w:spacing w:line="432" w:lineRule="auto"/>
        <w:ind w:firstLine="480"/>
        <w:rPr>
          <w:rFonts w:ascii="黑体" w:hAnsi="黑体" w:eastAsia="黑体" w:cs="Times New Roman"/>
          <w:color w:val="333333"/>
          <w:kern w:val="0"/>
          <w:sz w:val="32"/>
          <w:szCs w:val="32"/>
        </w:rPr>
      </w:pPr>
      <w:r>
        <w:rPr>
          <w:rFonts w:ascii="黑体" w:hAnsi="黑体" w:eastAsia="黑体" w:cs="Times New Roman"/>
          <w:color w:val="333333"/>
          <w:kern w:val="0"/>
          <w:sz w:val="32"/>
          <w:szCs w:val="32"/>
        </w:rPr>
        <w:t>六、其他需要报告的事项</w:t>
      </w:r>
    </w:p>
    <w:p>
      <w:pPr>
        <w:widowControl/>
        <w:spacing w:line="432" w:lineRule="auto"/>
        <w:ind w:firstLine="480"/>
        <w:rPr>
          <w:rFonts w:ascii="黑体" w:hAnsi="黑体" w:eastAsia="黑体" w:cs="Times New Roman"/>
          <w:color w:val="333333"/>
          <w:kern w:val="0"/>
          <w:sz w:val="32"/>
          <w:szCs w:val="32"/>
        </w:rPr>
      </w:pPr>
      <w:r>
        <w:rPr>
          <w:rFonts w:ascii="仿宋" w:hAnsi="仿宋" w:eastAsia="仿宋" w:cs="Times New Roman"/>
          <w:color w:val="333333"/>
          <w:kern w:val="0"/>
          <w:sz w:val="32"/>
          <w:szCs w:val="32"/>
        </w:rPr>
        <w:t>（文字描述）</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2561279"/>
      <w:docPartObj>
        <w:docPartGallery w:val="autotext"/>
      </w:docPartObj>
    </w:sdtPr>
    <w:sdtEndPr>
      <w:rPr>
        <w:rFonts w:ascii="Times New Roman" w:hAnsi="Times New Roman" w:cs="Times New Roman"/>
        <w:sz w:val="24"/>
        <w:szCs w:val="24"/>
      </w:rPr>
    </w:sdtEndPr>
    <w:sdtContent>
      <w:p>
        <w:pPr>
          <w:pStyle w:val="2"/>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88005C"/>
    <w:rsid w:val="47A27880"/>
    <w:rsid w:val="529C0940"/>
    <w:rsid w:val="617377E2"/>
    <w:rsid w:val="68A93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2020-01-14T01:10:00Z</cp:lastPrinted>
  <dcterms:modified xsi:type="dcterms:W3CDTF">2020-01-31T05:33:11Z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