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仿宋" w:cs="Times New Roman"/>
          <w:sz w:val="32"/>
          <w:szCs w:val="32"/>
        </w:rPr>
      </w:pPr>
      <w:r>
        <w:rPr>
          <w:rFonts w:hint="eastAsia" w:ascii="Times New Roman" w:hAnsi="Times New Roman" w:eastAsia="仿宋" w:cs="Times New Roman"/>
          <w:sz w:val="32"/>
          <w:szCs w:val="32"/>
        </w:rPr>
        <w:t>附件：</w:t>
      </w:r>
    </w:p>
    <w:p>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银州区岭东街道2019年度政府信息公开</w:t>
      </w:r>
    </w:p>
    <w:p>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工作年度报告</w:t>
      </w:r>
    </w:p>
    <w:p>
      <w:pPr>
        <w:rPr>
          <w:rFonts w:hint="eastAsia" w:ascii="黑体" w:hAnsi="黑体" w:eastAsia="黑体" w:cs="黑体"/>
          <w:sz w:val="32"/>
          <w:szCs w:val="32"/>
          <w:lang w:eastAsia="zh-CN"/>
        </w:rPr>
      </w:pPr>
      <w:r>
        <w:rPr>
          <w:rFonts w:hint="eastAsia" w:ascii="黑体" w:hAnsi="黑体" w:eastAsia="黑体" w:cs="黑体"/>
          <w:sz w:val="32"/>
          <w:szCs w:val="32"/>
          <w:lang w:eastAsia="zh-CN"/>
        </w:rPr>
        <w:t>报送单位：银州区岭东街道办事处</w:t>
      </w:r>
    </w:p>
    <w:p>
      <w:pPr>
        <w:ind w:firstLine="640" w:firstLineChars="200"/>
        <w:rPr>
          <w:rFonts w:ascii="黑体" w:hAnsi="黑体" w:eastAsia="黑体" w:cs="Times New Roman"/>
          <w:sz w:val="32"/>
          <w:szCs w:val="32"/>
        </w:rPr>
      </w:pPr>
      <w:r>
        <w:rPr>
          <w:rFonts w:hint="eastAsia" w:ascii="黑体" w:hAnsi="黑体" w:eastAsia="黑体" w:cs="Times New Roman"/>
          <w:sz w:val="32"/>
          <w:szCs w:val="32"/>
        </w:rPr>
        <w:t>一、总体情况</w:t>
      </w:r>
    </w:p>
    <w:p>
      <w:pPr>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eastAsia="zh-CN"/>
        </w:rPr>
        <w:t>（一）统一认识，加强领导，确保政务公开落到实处</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充分认识到,政务公开工作的成效不能局限于一朝一夕,要使政务公开工作不流于形式,不走过场,必须着眼于建立政务公开长效机制和监督机制,使政务公开成为一种自觉的意识和行为。街道党工委明确要求政务公开工作要本着规范、明了、方便、实用的原则。根据这一原则,我们将公开栏设在群众便于阅览的地方,比如在街道院内和各社区办公室楼前设置了公示栏和公示牌。另外,我们还采用会议等形式将有关政务予以公布。同时,开展公开工作进万家活动。凡涉及组织人事工作的,在街道党工委扩大会议、领导班子会议上公开;涉及经济管理工作的,逐级向群众公开;涉及老百姓的热点、焦点问题,直接公开到户、到人。街道党工委明确要求政务公开必须做到尽快、及时,常年公开、定期公开与随时公开相结合,事前公开与事后公开相结合,对已公开的内容随时更新。</w:t>
      </w:r>
    </w:p>
    <w:p>
      <w:pPr>
        <w:numPr>
          <w:ilvl w:val="0"/>
          <w:numId w:val="1"/>
        </w:numPr>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eastAsia="zh-CN"/>
        </w:rPr>
        <w:t>突出重点,规范程序,不断深化政务公开</w:t>
      </w:r>
    </w:p>
    <w:p>
      <w:pPr>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在政务公开推进过程中,讲求实效,根据我街道的实际,突出重点,创新形式,不断提高政务公开工作水平。在公开内容上,我们在按照区委、区政府的要求,在公开基本内容的基础上,重点公开与群众切身利益密切相关的事项,以及群众最关心、社会最敏感、反映最强烈的热点问题。本年度岭东街道通过政府门户网、街道公示栏、社区公示牌等主动公开信息</w:t>
      </w:r>
      <w:r>
        <w:rPr>
          <w:rFonts w:hint="eastAsia" w:ascii="仿宋" w:hAnsi="仿宋" w:eastAsia="仿宋" w:cs="仿宋"/>
          <w:sz w:val="32"/>
          <w:szCs w:val="32"/>
          <w:lang w:val="en-US" w:eastAsia="zh-CN"/>
        </w:rPr>
        <w:t>45</w:t>
      </w:r>
      <w:r>
        <w:rPr>
          <w:rFonts w:hint="eastAsia" w:ascii="仿宋" w:hAnsi="仿宋" w:eastAsia="仿宋" w:cs="仿宋"/>
          <w:sz w:val="32"/>
          <w:szCs w:val="32"/>
          <w:lang w:eastAsia="zh-CN"/>
        </w:rPr>
        <w:t>条。工作动态信息</w:t>
      </w:r>
      <w:r>
        <w:rPr>
          <w:rFonts w:hint="eastAsia" w:ascii="仿宋" w:hAnsi="仿宋" w:eastAsia="仿宋" w:cs="仿宋"/>
          <w:sz w:val="32"/>
          <w:szCs w:val="32"/>
          <w:lang w:val="en-US" w:eastAsia="zh-CN"/>
        </w:rPr>
        <w:t>8</w:t>
      </w:r>
      <w:r>
        <w:rPr>
          <w:rFonts w:hint="eastAsia" w:ascii="仿宋" w:hAnsi="仿宋" w:eastAsia="仿宋" w:cs="仿宋"/>
          <w:sz w:val="32"/>
          <w:szCs w:val="32"/>
          <w:lang w:eastAsia="zh-CN"/>
        </w:rPr>
        <w:t>条；人事变动信息</w:t>
      </w:r>
      <w:r>
        <w:rPr>
          <w:rFonts w:hint="eastAsia" w:ascii="仿宋" w:hAnsi="仿宋" w:eastAsia="仿宋" w:cs="仿宋"/>
          <w:color w:val="000000" w:themeColor="text1"/>
          <w:sz w:val="32"/>
          <w:szCs w:val="32"/>
          <w:lang w:eastAsia="zh-CN"/>
          <w14:textFill>
            <w14:solidFill>
              <w14:schemeClr w14:val="tx1"/>
            </w14:solidFill>
          </w14:textFill>
        </w:rPr>
        <w:t>3</w:t>
      </w:r>
      <w:r>
        <w:rPr>
          <w:rFonts w:hint="eastAsia" w:ascii="仿宋" w:hAnsi="仿宋" w:eastAsia="仿宋" w:cs="仿宋"/>
          <w:sz w:val="32"/>
          <w:szCs w:val="32"/>
          <w:lang w:eastAsia="zh-CN"/>
        </w:rPr>
        <w:t>条；其他信息</w:t>
      </w:r>
      <w:r>
        <w:rPr>
          <w:rFonts w:hint="eastAsia" w:ascii="仿宋" w:hAnsi="仿宋" w:eastAsia="仿宋" w:cs="仿宋"/>
          <w:sz w:val="32"/>
          <w:szCs w:val="32"/>
          <w:lang w:val="en-US" w:eastAsia="zh-CN"/>
        </w:rPr>
        <w:t>34</w:t>
      </w:r>
      <w:r>
        <w:rPr>
          <w:rFonts w:hint="eastAsia" w:ascii="仿宋" w:hAnsi="仿宋" w:eastAsia="仿宋" w:cs="仿宋"/>
          <w:sz w:val="32"/>
          <w:szCs w:val="32"/>
          <w:lang w:eastAsia="zh-CN"/>
        </w:rPr>
        <w:t>条。在公开程序上,我们首先对机关、社区需要公开的内容及项目进行整理,列出清单,然后对整理结果进行汇总审核,最后由政务公开领导小组审核后,对照清单全面进行公布。对重要的政务活动,一律要求民主议事在前,决策公布在后,必要时召开党工委会议，广泛征求并统一意见后进行公布。对涉及到各类财务收支的,一律审计理财在前,核实公布在后。我们把机关和社区划成两块,组织专门人员对政务公开工作进行事前布置、事中督促、事后检查,一抓到底。</w:t>
      </w:r>
    </w:p>
    <w:p>
      <w:pPr>
        <w:numPr>
          <w:ilvl w:val="0"/>
          <w:numId w:val="1"/>
        </w:numPr>
        <w:ind w:left="0" w:leftChars="0"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eastAsia="zh-CN"/>
        </w:rPr>
        <w:t>创新思路,真抓实干,务求政务公开工作富有成效</w:t>
      </w:r>
    </w:p>
    <w:p>
      <w:pPr>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在政务公开工作中,我们注重创新思路,做到四个结合:一是把政务公开与目标考核相结合;二是把政务公开与社会服务相结合;三是把政务公开与开展评议相结合;四是把政务公开与党风廉政建设相结合。通过这四个结合,有力地推进了政务公开工作的开展,取得了明显的效果。</w:t>
      </w:r>
    </w:p>
    <w:p>
      <w:pPr>
        <w:numPr>
          <w:ilvl w:val="0"/>
          <w:numId w:val="2"/>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促进了领导决策的民主化、科学化。通过政务公开,充分发扬民主,让群众及时了解当前街道、社区两级的各项政务活动,征求人民群众对政府工作的建议和意见,并将意见收集整理好交由有关部门去落实,这样就提高了干部群众参与政务的积极性,提高了领导决策的科学性和准确性。</w:t>
      </w:r>
    </w:p>
    <w:p>
      <w:pPr>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2、规范了权力运行,提高了工作效率,保障了工作顺利开展。通过政务公开,有效地规范了政府机关的权力运行,不公正、不公平现象逐渐减少,改进了机关工作作风和广大党员干部的形象,受到了群众的普遍欢迎。</w:t>
      </w:r>
    </w:p>
    <w:p>
      <w:pPr>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3、增强了工作透明度,促进了党风廉政建设。政务公开使施政行为均处于群众的监督之下,提高了工作透明度,规范了行政行为,推动了政府机关党风廉政建设,方便了企业和群众办事,促进了办事效率的提高。</w:t>
      </w:r>
    </w:p>
    <w:p>
      <w:pPr>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4、促进了依法行政。通过推行政务公开,使街道形成了行为规范、公开透明、廉洁高效的政务氛围,进一步增强了街道人员的工作责任感,促进了依法行政,提高了依法办事的水平。</w:t>
      </w:r>
    </w:p>
    <w:p>
      <w:pPr>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5、改进了干部作风,密切了基层单位与人民群众的联系。通过政务公开,改进了广大党员干部的工作作风,提高了工作效率,为民服务的意识进一步增强;群众通过参与政务公开,主人翁意识进一步增强,对政府依法管理给予了理解与大力支持。</w:t>
      </w:r>
    </w:p>
    <w:p>
      <w:pPr>
        <w:numPr>
          <w:ilvl w:val="0"/>
          <w:numId w:val="0"/>
        </w:numPr>
        <w:rPr>
          <w:rFonts w:hint="eastAsia" w:ascii="仿宋" w:hAnsi="仿宋" w:eastAsia="仿宋" w:cs="仿宋"/>
          <w:sz w:val="32"/>
          <w:szCs w:val="32"/>
          <w:lang w:eastAsia="zh-CN"/>
        </w:rPr>
      </w:pPr>
    </w:p>
    <w:p>
      <w:pPr>
        <w:ind w:firstLine="640" w:firstLineChars="200"/>
        <w:rPr>
          <w:rFonts w:ascii="黑体" w:hAnsi="黑体" w:eastAsia="黑体" w:cs="Times New Roman"/>
          <w:sz w:val="32"/>
          <w:szCs w:val="32"/>
        </w:rPr>
      </w:pPr>
      <w:r>
        <w:rPr>
          <w:rFonts w:hint="eastAsia" w:ascii="黑体" w:hAnsi="黑体" w:eastAsia="黑体" w:cs="Times New Roman"/>
          <w:sz w:val="32"/>
          <w:szCs w:val="32"/>
        </w:rPr>
        <w:t>二、主动公开政府信息情况</w:t>
      </w:r>
    </w:p>
    <w:tbl>
      <w:tblPr>
        <w:tblStyle w:val="3"/>
        <w:tblW w:w="8140" w:type="dxa"/>
        <w:jc w:val="center"/>
        <w:tblLayout w:type="autofit"/>
        <w:tblCellMar>
          <w:top w:w="0" w:type="dxa"/>
          <w:left w:w="108" w:type="dxa"/>
          <w:bottom w:w="0" w:type="dxa"/>
          <w:right w:w="108" w:type="dxa"/>
        </w:tblCellMar>
      </w:tblPr>
      <w:tblGrid>
        <w:gridCol w:w="3113"/>
        <w:gridCol w:w="1875"/>
        <w:gridCol w:w="6"/>
        <w:gridCol w:w="1265"/>
        <w:gridCol w:w="1881"/>
      </w:tblGrid>
      <w:tr>
        <w:tblPrEx>
          <w:tblCellMar>
            <w:top w:w="0" w:type="dxa"/>
            <w:left w:w="108" w:type="dxa"/>
            <w:bottom w:w="0" w:type="dxa"/>
            <w:right w:w="108" w:type="dxa"/>
          </w:tblCellMar>
        </w:tblPrEx>
        <w:trPr>
          <w:trHeight w:val="495"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第二十条第（一）项</w:t>
            </w:r>
          </w:p>
        </w:tc>
      </w:tr>
      <w:tr>
        <w:tblPrEx>
          <w:tblCellMar>
            <w:top w:w="0" w:type="dxa"/>
            <w:left w:w="108" w:type="dxa"/>
            <w:bottom w:w="0" w:type="dxa"/>
            <w:right w:w="108" w:type="dxa"/>
          </w:tblCellMar>
        </w:tblPrEx>
        <w:trPr>
          <w:trHeight w:val="882"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本年新</w:t>
            </w:r>
            <w:r>
              <w:rPr>
                <w:rFonts w:hint="eastAsia" w:ascii="宋体" w:hAnsi="宋体" w:eastAsia="宋体" w:cs="宋体"/>
                <w:color w:val="000000"/>
                <w:kern w:val="0"/>
                <w:sz w:val="20"/>
                <w:szCs w:val="20"/>
              </w:rPr>
              <w:br w:type="textWrapping"/>
            </w:r>
            <w:r>
              <w:rPr>
                <w:rFonts w:hint="eastAsia" w:ascii="宋体" w:hAnsi="宋体" w:eastAsia="宋体" w:cs="宋体"/>
                <w:color w:val="333333"/>
                <w:kern w:val="0"/>
                <w:sz w:val="20"/>
                <w:szCs w:val="20"/>
              </w:rPr>
              <w:t>制作数量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本年新</w:t>
            </w:r>
            <w:r>
              <w:rPr>
                <w:rFonts w:hint="eastAsia" w:ascii="宋体" w:hAnsi="宋体" w:eastAsia="宋体" w:cs="宋体"/>
                <w:color w:val="000000"/>
                <w:kern w:val="0"/>
                <w:sz w:val="20"/>
                <w:szCs w:val="20"/>
              </w:rPr>
              <w:br w:type="textWrapping"/>
            </w:r>
            <w:r>
              <w:rPr>
                <w:rFonts w:hint="eastAsia" w:ascii="宋体" w:hAnsi="宋体" w:eastAsia="宋体" w:cs="宋体"/>
                <w:color w:val="333333"/>
                <w:kern w:val="0"/>
                <w:sz w:val="20"/>
                <w:szCs w:val="20"/>
              </w:rPr>
              <w:t>公开数量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对外公开总数量</w:t>
            </w:r>
          </w:p>
        </w:tc>
      </w:tr>
      <w:tr>
        <w:tblPrEx>
          <w:tblCellMar>
            <w:top w:w="0" w:type="dxa"/>
            <w:left w:w="108" w:type="dxa"/>
            <w:bottom w:w="0" w:type="dxa"/>
            <w:right w:w="108" w:type="dxa"/>
          </w:tblCellMar>
        </w:tblPrEx>
        <w:trPr>
          <w:trHeight w:val="523"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规章</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xml:space="preserve">  </w:t>
            </w:r>
            <w:r>
              <w:rPr>
                <w:rFonts w:hint="eastAsia" w:ascii="宋体" w:hAnsi="宋体" w:eastAsia="宋体" w:cs="宋体"/>
                <w:color w:val="000000"/>
                <w:kern w:val="0"/>
                <w:sz w:val="20"/>
                <w:szCs w:val="20"/>
                <w:lang w:val="en-US" w:eastAsia="zh-CN"/>
              </w:rPr>
              <w:t>0</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lang w:val="en-US" w:eastAsia="zh-CN"/>
              </w:rPr>
            </w:pPr>
            <w:r>
              <w:rPr>
                <w:rFonts w:hint="eastAsia" w:ascii="宋体" w:hAnsi="Calibri" w:eastAsia="宋体" w:cs="Times New Roman"/>
                <w:color w:val="000000"/>
                <w:kern w:val="0"/>
                <w:sz w:val="20"/>
                <w:szCs w:val="20"/>
              </w:rPr>
              <w:t> </w:t>
            </w:r>
            <w:r>
              <w:rPr>
                <w:rFonts w:hint="eastAsia" w:ascii="宋体" w:hAnsi="Calibri" w:eastAsia="宋体" w:cs="Times New Roman"/>
                <w:color w:val="000000"/>
                <w:kern w:val="0"/>
                <w:sz w:val="20"/>
                <w:szCs w:val="20"/>
                <w:lang w:val="en-US" w:eastAsia="zh-CN"/>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471"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规范性文件</w:t>
            </w:r>
          </w:p>
        </w:tc>
        <w:tc>
          <w:tcPr>
            <w:tcW w:w="187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xml:space="preserve">  </w:t>
            </w:r>
            <w:r>
              <w:rPr>
                <w:rFonts w:hint="eastAsia" w:ascii="宋体" w:hAnsi="宋体" w:eastAsia="宋体" w:cs="宋体"/>
                <w:color w:val="000000"/>
                <w:kern w:val="0"/>
                <w:sz w:val="20"/>
                <w:szCs w:val="20"/>
                <w:lang w:val="en-US" w:eastAsia="zh-CN"/>
              </w:rPr>
              <w:t>0</w:t>
            </w:r>
          </w:p>
        </w:tc>
        <w:tc>
          <w:tcPr>
            <w:tcW w:w="1271" w:type="dxa"/>
            <w:gridSpan w:val="2"/>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lang w:val="en-US" w:eastAsia="zh-CN"/>
              </w:rPr>
            </w:pPr>
            <w:r>
              <w:rPr>
                <w:rFonts w:hint="eastAsia" w:ascii="宋体" w:hAnsi="Calibri" w:eastAsia="宋体" w:cs="Times New Roman"/>
                <w:color w:val="000000"/>
                <w:kern w:val="0"/>
                <w:sz w:val="20"/>
                <w:szCs w:val="20"/>
              </w:rPr>
              <w:t> </w:t>
            </w:r>
            <w:r>
              <w:rPr>
                <w:rFonts w:hint="eastAsia" w:ascii="宋体" w:hAnsi="Calibri" w:eastAsia="宋体" w:cs="Times New Roman"/>
                <w:color w:val="000000"/>
                <w:kern w:val="0"/>
                <w:sz w:val="20"/>
                <w:szCs w:val="20"/>
                <w:lang w:val="en-US" w:eastAsia="zh-CN"/>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480"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第二十条第（五）项</w:t>
            </w:r>
          </w:p>
        </w:tc>
      </w:tr>
      <w:tr>
        <w:tblPrEx>
          <w:tblCellMar>
            <w:top w:w="0" w:type="dxa"/>
            <w:left w:w="108" w:type="dxa"/>
            <w:bottom w:w="0" w:type="dxa"/>
            <w:right w:w="108" w:type="dxa"/>
          </w:tblCellMar>
        </w:tblPrEx>
        <w:trPr>
          <w:trHeight w:val="634"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上一年项目数量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本年增/减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处理决定数量</w:t>
            </w:r>
          </w:p>
        </w:tc>
      </w:tr>
      <w:tr>
        <w:tblPrEx>
          <w:tblCellMar>
            <w:top w:w="0" w:type="dxa"/>
            <w:left w:w="108" w:type="dxa"/>
            <w:bottom w:w="0" w:type="dxa"/>
            <w:right w:w="108" w:type="dxa"/>
          </w:tblCellMar>
        </w:tblPrEx>
        <w:trPr>
          <w:trHeight w:val="528"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行政许可</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55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其他对外管理服务事项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406"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第二十条第（六）项</w:t>
            </w:r>
          </w:p>
        </w:tc>
      </w:tr>
      <w:tr>
        <w:tblPrEx>
          <w:tblCellMar>
            <w:top w:w="0" w:type="dxa"/>
            <w:left w:w="108" w:type="dxa"/>
            <w:bottom w:w="0" w:type="dxa"/>
            <w:right w:w="108" w:type="dxa"/>
          </w:tblCellMar>
        </w:tblPrEx>
        <w:trPr>
          <w:trHeight w:val="634"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上一年项目数量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本年增/减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处理决定数量</w:t>
            </w:r>
          </w:p>
        </w:tc>
      </w:tr>
      <w:tr>
        <w:tblPrEx>
          <w:tblCellMar>
            <w:top w:w="0" w:type="dxa"/>
            <w:left w:w="108" w:type="dxa"/>
            <w:bottom w:w="0" w:type="dxa"/>
            <w:right w:w="108" w:type="dxa"/>
          </w:tblCellMar>
        </w:tblPrEx>
        <w:trPr>
          <w:trHeight w:val="43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行政处罚</w:t>
            </w:r>
          </w:p>
        </w:tc>
        <w:tc>
          <w:tcPr>
            <w:tcW w:w="1881" w:type="dxa"/>
            <w:gridSpan w:val="2"/>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126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409"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行政强制</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474"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第二十条第（八）项</w:t>
            </w:r>
          </w:p>
        </w:tc>
      </w:tr>
      <w:tr>
        <w:tblPrEx>
          <w:tblCellMar>
            <w:top w:w="0" w:type="dxa"/>
            <w:left w:w="108" w:type="dxa"/>
            <w:bottom w:w="0" w:type="dxa"/>
            <w:right w:w="108" w:type="dxa"/>
          </w:tblCellMar>
        </w:tblPrEx>
        <w:trPr>
          <w:trHeight w:val="27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上一年项目数量</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本年增/减</w:t>
            </w:r>
          </w:p>
        </w:tc>
      </w:tr>
      <w:tr>
        <w:tblPrEx>
          <w:tblCellMar>
            <w:top w:w="0" w:type="dxa"/>
            <w:left w:w="108" w:type="dxa"/>
            <w:bottom w:w="0" w:type="dxa"/>
            <w:right w:w="108" w:type="dxa"/>
          </w:tblCellMar>
        </w:tblPrEx>
        <w:trPr>
          <w:trHeight w:val="551"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行政事业性收费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Calibri" w:eastAsia="宋体" w:cs="Times New Roman"/>
                <w:color w:val="000000"/>
                <w:kern w:val="0"/>
                <w:sz w:val="20"/>
                <w:szCs w:val="20"/>
                <w:lang w:val="en-US" w:eastAsia="zh-CN"/>
              </w:rPr>
              <w:t>0</w:t>
            </w:r>
            <w:r>
              <w:rPr>
                <w:rFonts w:hint="eastAsia" w:ascii="宋体" w:hAnsi="Calibri" w:eastAsia="宋体" w:cs="Times New Roman"/>
                <w:color w:val="000000"/>
                <w:kern w:val="0"/>
                <w:sz w:val="20"/>
                <w:szCs w:val="20"/>
              </w:rPr>
              <w:t> </w:t>
            </w:r>
          </w:p>
        </w:tc>
      </w:tr>
      <w:tr>
        <w:tblPrEx>
          <w:tblCellMar>
            <w:top w:w="0" w:type="dxa"/>
            <w:left w:w="108" w:type="dxa"/>
            <w:bottom w:w="0" w:type="dxa"/>
            <w:right w:w="108" w:type="dxa"/>
          </w:tblCellMar>
        </w:tblPrEx>
        <w:trPr>
          <w:trHeight w:val="476"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第二十条第（九）项</w:t>
            </w:r>
          </w:p>
        </w:tc>
      </w:tr>
      <w:tr>
        <w:tblPrEx>
          <w:tblCellMar>
            <w:top w:w="0" w:type="dxa"/>
            <w:left w:w="108" w:type="dxa"/>
            <w:bottom w:w="0" w:type="dxa"/>
            <w:right w:w="108" w:type="dxa"/>
          </w:tblCellMar>
        </w:tblPrEx>
        <w:trPr>
          <w:trHeight w:val="585"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采购项目数量</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采购总金额</w:t>
            </w:r>
          </w:p>
        </w:tc>
      </w:tr>
      <w:tr>
        <w:tblPrEx>
          <w:tblCellMar>
            <w:top w:w="0" w:type="dxa"/>
            <w:left w:w="108" w:type="dxa"/>
            <w:bottom w:w="0" w:type="dxa"/>
            <w:right w:w="108" w:type="dxa"/>
          </w:tblCellMar>
        </w:tblPrEx>
        <w:trPr>
          <w:trHeight w:val="539"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政府集中采购</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lang w:val="en-US" w:eastAsia="zh-CN"/>
              </w:rPr>
            </w:pPr>
            <w:r>
              <w:rPr>
                <w:rFonts w:hint="eastAsia" w:ascii="宋体" w:hAnsi="宋体" w:eastAsia="宋体" w:cs="宋体"/>
                <w:color w:val="333333"/>
                <w:kern w:val="0"/>
                <w:szCs w:val="21"/>
                <w:lang w:val="en-US" w:eastAsia="zh-CN"/>
              </w:rPr>
              <w:t>0</w:t>
            </w:r>
          </w:p>
        </w:tc>
      </w:tr>
    </w:tbl>
    <w:p>
      <w:pPr>
        <w:widowControl/>
        <w:spacing w:line="432" w:lineRule="auto"/>
        <w:ind w:firstLine="480"/>
        <w:rPr>
          <w:rFonts w:ascii="Times New Roman" w:hAnsi="Times New Roman" w:eastAsia="仿宋" w:cs="Times New Roman"/>
          <w:color w:val="333333"/>
          <w:kern w:val="0"/>
          <w:sz w:val="32"/>
          <w:szCs w:val="32"/>
        </w:rPr>
      </w:pPr>
    </w:p>
    <w:p>
      <w:pPr>
        <w:ind w:firstLine="643" w:firstLineChars="200"/>
        <w:rPr>
          <w:rFonts w:ascii="黑体" w:hAnsi="黑体" w:eastAsia="黑体" w:cs="Times New Roman"/>
          <w:b/>
          <w:bCs/>
          <w:color w:val="333333"/>
          <w:kern w:val="0"/>
          <w:sz w:val="32"/>
          <w:szCs w:val="32"/>
        </w:rPr>
      </w:pPr>
      <w:r>
        <w:rPr>
          <w:rFonts w:ascii="黑体" w:hAnsi="黑体" w:eastAsia="黑体" w:cs="Times New Roman"/>
          <w:b/>
          <w:bCs/>
          <w:color w:val="333333"/>
          <w:kern w:val="0"/>
          <w:sz w:val="32"/>
          <w:szCs w:val="32"/>
        </w:rPr>
        <w:t>三、收到和处理政府信息公开申请情况</w:t>
      </w:r>
    </w:p>
    <w:tbl>
      <w:tblPr>
        <w:tblStyle w:val="3"/>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855"/>
        <w:gridCol w:w="2130"/>
        <w:gridCol w:w="825"/>
        <w:gridCol w:w="765"/>
        <w:gridCol w:w="765"/>
        <w:gridCol w:w="825"/>
        <w:gridCol w:w="990"/>
        <w:gridCol w:w="720"/>
        <w:gridCol w:w="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（本列数据的勾稽关系为：第一项加第二项之和，等于第三项加第四项之和）</w:t>
            </w:r>
          </w:p>
        </w:tc>
        <w:tc>
          <w:tcPr>
            <w:tcW w:w="5592" w:type="dxa"/>
            <w:gridSpan w:val="7"/>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申请人情况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2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自然人</w:t>
            </w:r>
          </w:p>
        </w:tc>
        <w:tc>
          <w:tcPr>
            <w:tcW w:w="4065" w:type="dxa"/>
            <w:gridSpan w:val="5"/>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法人或其他组织</w:t>
            </w:r>
          </w:p>
        </w:tc>
        <w:tc>
          <w:tcPr>
            <w:tcW w:w="702"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2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商业企业</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科研机构</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社会公益组织</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法律服务机构</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其他</w:t>
            </w:r>
          </w:p>
        </w:tc>
        <w:tc>
          <w:tcPr>
            <w:tcW w:w="702" w:type="dxa"/>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Calibri" w:hAnsi="Calibri" w:eastAsia="宋体" w:cs="Times New Roman"/>
                <w:color w:val="333333"/>
                <w:sz w:val="20"/>
                <w:szCs w:val="20"/>
              </w:rPr>
              <w:t>一、本年新收政府信息公开申请数量</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Calibri" w:hAnsi="Calibri" w:eastAsia="宋体" w:cs="Times New Roman"/>
                <w:color w:val="333333"/>
                <w:sz w:val="20"/>
                <w:szCs w:val="20"/>
              </w:rPr>
              <w:t>二、上年结转政府信息公开申请数量</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restart"/>
            <w:tcBorders>
              <w:top w:val="nil"/>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三、本年度办理结果</w:t>
            </w: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（一）予以公开</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（二）部分公开（区分处理的，只计这一情形，不计其他情形）</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（三）不予公开</w:t>
            </w: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1.属于国家秘密</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2.其他法律行政法规禁止公开</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3.危及“三安全一稳定”</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4.保护第三方合法权益</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5.属于三类内部事务信息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6.属于四类过程性信息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7.属于行政执法案卷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8.属于行政查询事项</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（四）无法提供</w:t>
            </w: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1.本机关不掌握相关政府信息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2.没有现成信息需要另行制作</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3.补正后申请内容仍不明确</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（五）不予处理</w:t>
            </w: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1.信访举报投诉类申请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2.重复申请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楷体" w:cs="宋体"/>
                <w:color w:val="333333"/>
                <w:kern w:val="0"/>
                <w:szCs w:val="21"/>
                <w:lang w:val="en-US" w:eastAsia="zh-CN"/>
              </w:rPr>
            </w:pPr>
            <w:r>
              <w:rPr>
                <w:rFonts w:hint="eastAsia" w:ascii="楷体" w:hAnsi="楷体" w:eastAsia="楷体" w:cs="宋体"/>
                <w:color w:val="333333"/>
                <w:sz w:val="20"/>
                <w:szCs w:val="20"/>
              </w:rPr>
              <w:t>3.要求提供公开出版物</w:t>
            </w:r>
            <w:r>
              <w:rPr>
                <w:rFonts w:hint="eastAsia" w:ascii="楷体" w:hAnsi="楷体" w:eastAsia="楷体" w:cs="宋体"/>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4.无正当理由大量反复申请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5.要求行政机关确认或重新出具已获取信息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（六）其他处理</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（七）总计</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Calibri" w:hAnsi="Calibri" w:eastAsia="宋体" w:cs="Times New Roman"/>
                <w:color w:val="333333"/>
                <w:sz w:val="20"/>
                <w:szCs w:val="20"/>
              </w:rPr>
              <w:t>四、结转下年度继续办理</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333333"/>
                <w:kern w:val="0"/>
                <w:szCs w:val="21"/>
                <w:lang w:val="en-US" w:eastAsia="zh-CN"/>
              </w:rPr>
              <w:t>0</w:t>
            </w:r>
          </w:p>
        </w:tc>
      </w:tr>
    </w:tbl>
    <w:p>
      <w:pPr>
        <w:widowControl/>
        <w:spacing w:line="432" w:lineRule="auto"/>
        <w:ind w:firstLine="480"/>
        <w:rPr>
          <w:rFonts w:ascii="仿宋" w:hAnsi="仿宋" w:eastAsia="仿宋" w:cs="宋体"/>
          <w:color w:val="333333"/>
          <w:kern w:val="0"/>
          <w:sz w:val="32"/>
          <w:szCs w:val="32"/>
        </w:rPr>
      </w:pPr>
    </w:p>
    <w:p>
      <w:pPr>
        <w:widowControl/>
        <w:spacing w:line="432" w:lineRule="auto"/>
        <w:ind w:firstLine="480"/>
        <w:rPr>
          <w:rFonts w:hint="eastAsia" w:ascii="仿宋" w:hAnsi="仿宋" w:eastAsia="仿宋" w:cs="宋体"/>
          <w:color w:val="333333"/>
          <w:kern w:val="0"/>
          <w:sz w:val="32"/>
          <w:szCs w:val="32"/>
        </w:rPr>
      </w:pPr>
    </w:p>
    <w:p>
      <w:pPr>
        <w:widowControl/>
        <w:spacing w:line="432" w:lineRule="auto"/>
        <w:ind w:firstLine="480"/>
        <w:rPr>
          <w:rFonts w:hint="eastAsia" w:ascii="黑体" w:hAnsi="黑体" w:eastAsia="黑体" w:cs="宋体"/>
          <w:color w:val="333333"/>
          <w:kern w:val="0"/>
          <w:sz w:val="32"/>
          <w:szCs w:val="32"/>
        </w:rPr>
      </w:pPr>
      <w:r>
        <w:rPr>
          <w:rFonts w:hint="eastAsia" w:ascii="黑体" w:hAnsi="黑体" w:eastAsia="黑体" w:cs="宋体"/>
          <w:color w:val="333333"/>
          <w:kern w:val="0"/>
          <w:sz w:val="32"/>
          <w:szCs w:val="32"/>
        </w:rPr>
        <w:t>四、政府信息公开行政复议、行政诉讼情况</w:t>
      </w:r>
    </w:p>
    <w:tbl>
      <w:tblPr>
        <w:tblStyle w:val="3"/>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4"/>
        <w:gridCol w:w="604"/>
        <w:gridCol w:w="604"/>
        <w:gridCol w:w="604"/>
        <w:gridCol w:w="658"/>
        <w:gridCol w:w="550"/>
        <w:gridCol w:w="605"/>
        <w:gridCol w:w="605"/>
        <w:gridCol w:w="605"/>
        <w:gridCol w:w="605"/>
        <w:gridCol w:w="605"/>
        <w:gridCol w:w="605"/>
        <w:gridCol w:w="605"/>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gridSpan w:val="5"/>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行政复议</w:t>
            </w:r>
          </w:p>
        </w:tc>
        <w:tc>
          <w:tcPr>
            <w:tcW w:w="5997" w:type="dxa"/>
            <w:gridSpan w:val="10"/>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行政诉讼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Merge w:val="restart"/>
            <w:tcBorders>
              <w:top w:val="nil"/>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结果维持</w:t>
            </w:r>
          </w:p>
        </w:tc>
        <w:tc>
          <w:tcPr>
            <w:tcW w:w="604"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结果纠正</w:t>
            </w:r>
          </w:p>
        </w:tc>
        <w:tc>
          <w:tcPr>
            <w:tcW w:w="604"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其他结果</w:t>
            </w:r>
          </w:p>
        </w:tc>
        <w:tc>
          <w:tcPr>
            <w:tcW w:w="604"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尚未审结</w:t>
            </w:r>
          </w:p>
        </w:tc>
        <w:tc>
          <w:tcPr>
            <w:tcW w:w="658"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总计</w:t>
            </w:r>
          </w:p>
        </w:tc>
        <w:tc>
          <w:tcPr>
            <w:tcW w:w="2970" w:type="dxa"/>
            <w:gridSpan w:val="5"/>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未经复议直接起诉</w:t>
            </w:r>
          </w:p>
        </w:tc>
        <w:tc>
          <w:tcPr>
            <w:tcW w:w="3027" w:type="dxa"/>
            <w:gridSpan w:val="5"/>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复议后起诉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0" w:type="auto"/>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0" w:type="auto"/>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0" w:type="auto"/>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0" w:type="auto"/>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55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结果维持</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结果纠正</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其他结果</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尚未审结</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总计</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结果维持</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结果纠正</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其他结果</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尚未审结</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604"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604"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604"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658"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55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 </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 </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333333"/>
                <w:kern w:val="0"/>
                <w:szCs w:val="21"/>
                <w:lang w:val="en-US" w:eastAsia="zh-CN"/>
              </w:rPr>
              <w:t>0</w:t>
            </w:r>
          </w:p>
        </w:tc>
      </w:tr>
    </w:tbl>
    <w:p>
      <w:pPr>
        <w:widowControl/>
        <w:spacing w:line="432" w:lineRule="auto"/>
        <w:jc w:val="center"/>
        <w:rPr>
          <w:rFonts w:ascii="Times New Roman" w:hAnsi="Times New Roman" w:eastAsia="宋体" w:cs="Times New Roman"/>
          <w:color w:val="333333"/>
          <w:kern w:val="0"/>
          <w:sz w:val="32"/>
          <w:szCs w:val="32"/>
        </w:rPr>
      </w:pPr>
    </w:p>
    <w:p>
      <w:pPr>
        <w:widowControl/>
        <w:numPr>
          <w:ilvl w:val="0"/>
          <w:numId w:val="3"/>
        </w:numPr>
        <w:spacing w:line="432" w:lineRule="auto"/>
        <w:ind w:firstLine="480"/>
        <w:rPr>
          <w:rFonts w:ascii="黑体" w:hAnsi="黑体" w:eastAsia="黑体" w:cs="Times New Roman"/>
          <w:color w:val="333333"/>
          <w:kern w:val="0"/>
          <w:sz w:val="32"/>
          <w:szCs w:val="32"/>
        </w:rPr>
      </w:pPr>
      <w:r>
        <w:rPr>
          <w:rFonts w:ascii="黑体" w:hAnsi="黑体" w:eastAsia="黑体" w:cs="Times New Roman"/>
          <w:color w:val="333333"/>
          <w:kern w:val="0"/>
          <w:sz w:val="32"/>
          <w:szCs w:val="32"/>
        </w:rPr>
        <w:t>存在的主要问题及改进情况</w:t>
      </w:r>
    </w:p>
    <w:p>
      <w:pPr>
        <w:widowControl/>
        <w:numPr>
          <w:ilvl w:val="0"/>
          <w:numId w:val="0"/>
        </w:numPr>
        <w:spacing w:line="432" w:lineRule="auto"/>
        <w:ind w:firstLine="640" w:firstLineChars="200"/>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1、公开意识及内容需要进一步深化。政府信息公开工作重视不够,没有及时总结、分析工作经验和存在问题。政府机关主动公开的政府信息与公众的需求还存在一些距离,有关决策、规定、规划、计划、方案的草案公开、听取公众意见方面需要进一步加强。</w:t>
      </w:r>
    </w:p>
    <w:p>
      <w:pPr>
        <w:widowControl/>
        <w:numPr>
          <w:ilvl w:val="0"/>
          <w:numId w:val="0"/>
        </w:numPr>
        <w:spacing w:line="432" w:lineRule="auto"/>
        <w:ind w:firstLine="640" w:firstLineChars="200"/>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2、组织引导工作需要进一步加强。目前存在负责政务公开工作的人员和居民群众对政府信息公开制度尚不熟悉,因此在提供政府信息工作中会出现概念理解不一致</w:t>
      </w:r>
      <w:r>
        <w:rPr>
          <w:rFonts w:hint="eastAsia" w:ascii="仿宋" w:hAnsi="仿宋" w:eastAsia="仿宋" w:cs="仿宋"/>
          <w:color w:val="333333"/>
          <w:kern w:val="0"/>
          <w:sz w:val="32"/>
          <w:szCs w:val="32"/>
          <w:lang w:eastAsia="zh-CN"/>
        </w:rPr>
        <w:t>、</w:t>
      </w:r>
      <w:r>
        <w:rPr>
          <w:rFonts w:hint="eastAsia" w:ascii="仿宋" w:hAnsi="仿宋" w:eastAsia="仿宋" w:cs="仿宋"/>
          <w:color w:val="333333"/>
          <w:kern w:val="0"/>
          <w:sz w:val="32"/>
          <w:szCs w:val="32"/>
        </w:rPr>
        <w:t>处理程序不够规范的现象。</w:t>
      </w:r>
    </w:p>
    <w:p>
      <w:pPr>
        <w:widowControl/>
        <w:numPr>
          <w:ilvl w:val="0"/>
          <w:numId w:val="0"/>
        </w:numPr>
        <w:spacing w:line="432" w:lineRule="auto"/>
        <w:ind w:firstLine="640" w:firstLineChars="200"/>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3、长效工作机制建设需要完善。在如何能够将政府公开信息工作做实做好方面培训学习过少，在结合本街实际工作内容实行政务公开方面结合</w:t>
      </w:r>
      <w:r>
        <w:rPr>
          <w:rFonts w:hint="eastAsia" w:ascii="仿宋" w:hAnsi="仿宋" w:eastAsia="仿宋" w:cs="仿宋"/>
          <w:color w:val="333333"/>
          <w:kern w:val="0"/>
          <w:sz w:val="32"/>
          <w:szCs w:val="32"/>
          <w:lang w:eastAsia="zh-CN"/>
        </w:rPr>
        <w:t>得</w:t>
      </w:r>
      <w:bookmarkStart w:id="0" w:name="_GoBack"/>
      <w:bookmarkEnd w:id="0"/>
      <w:r>
        <w:rPr>
          <w:rFonts w:hint="eastAsia" w:ascii="仿宋" w:hAnsi="仿宋" w:eastAsia="仿宋" w:cs="仿宋"/>
          <w:color w:val="333333"/>
          <w:kern w:val="0"/>
          <w:sz w:val="32"/>
          <w:szCs w:val="32"/>
        </w:rPr>
        <w:t>不彻底，在更新维护、监督约束等方面的工作机制尚不健全。</w:t>
      </w:r>
    </w:p>
    <w:p>
      <w:pPr>
        <w:widowControl/>
        <w:spacing w:line="432" w:lineRule="auto"/>
        <w:ind w:firstLine="480"/>
        <w:rPr>
          <w:rFonts w:ascii="黑体" w:hAnsi="黑体" w:eastAsia="黑体" w:cs="Times New Roman"/>
          <w:color w:val="333333"/>
          <w:kern w:val="0"/>
          <w:sz w:val="32"/>
          <w:szCs w:val="32"/>
        </w:rPr>
      </w:pPr>
      <w:r>
        <w:rPr>
          <w:rFonts w:ascii="黑体" w:hAnsi="黑体" w:eastAsia="黑体" w:cs="Times New Roman"/>
          <w:color w:val="333333"/>
          <w:kern w:val="0"/>
          <w:sz w:val="32"/>
          <w:szCs w:val="32"/>
        </w:rPr>
        <w:t>六、其他需要报告的事项</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2561279"/>
      <w:docPartObj>
        <w:docPartGallery w:val="autotext"/>
      </w:docPartObj>
    </w:sdtPr>
    <w:sdtEndPr>
      <w:rPr>
        <w:rFonts w:ascii="Times New Roman" w:hAnsi="Times New Roman" w:cs="Times New Roman"/>
        <w:sz w:val="24"/>
        <w:szCs w:val="24"/>
      </w:rPr>
    </w:sdtEndPr>
    <w:sdtContent>
      <w:p>
        <w:pPr>
          <w:pStyle w:val="2"/>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r>
          <w:rPr>
            <w:rFonts w:ascii="Times New Roman" w:hAnsi="Times New Roman" w:cs="Times New Roman"/>
            <w:sz w:val="24"/>
            <w:szCs w:val="24"/>
          </w:rPr>
          <w:t>-</w:t>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1F0889"/>
    <w:multiLevelType w:val="singleLevel"/>
    <w:tmpl w:val="A31F0889"/>
    <w:lvl w:ilvl="0" w:tentative="0">
      <w:start w:val="1"/>
      <w:numFmt w:val="decimal"/>
      <w:suff w:val="nothing"/>
      <w:lvlText w:val="%1、"/>
      <w:lvlJc w:val="left"/>
    </w:lvl>
  </w:abstractNum>
  <w:abstractNum w:abstractNumId="1">
    <w:nsid w:val="C3654626"/>
    <w:multiLevelType w:val="singleLevel"/>
    <w:tmpl w:val="C3654626"/>
    <w:lvl w:ilvl="0" w:tentative="0">
      <w:start w:val="2"/>
      <w:numFmt w:val="chineseCounting"/>
      <w:suff w:val="nothing"/>
      <w:lvlText w:val="（%1）"/>
      <w:lvlJc w:val="left"/>
      <w:rPr>
        <w:rFonts w:hint="eastAsia"/>
      </w:rPr>
    </w:lvl>
  </w:abstractNum>
  <w:abstractNum w:abstractNumId="2">
    <w:nsid w:val="5F8496B6"/>
    <w:multiLevelType w:val="singleLevel"/>
    <w:tmpl w:val="5F8496B6"/>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DF1168"/>
    <w:rsid w:val="39320134"/>
    <w:rsid w:val="47A27880"/>
    <w:rsid w:val="56BE10E8"/>
    <w:rsid w:val="617377E2"/>
    <w:rsid w:val="67D86873"/>
    <w:rsid w:val="680D04DF"/>
    <w:rsid w:val="698D621E"/>
    <w:rsid w:val="6F8A537A"/>
    <w:rsid w:val="74A661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43</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2019-12-30T05:50:00Z</cp:lastPrinted>
  <dcterms:modified xsi:type="dcterms:W3CDTF">2020-01-31T02:10:37Z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