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eastAsia="仿宋" w:cs="Times New Roman"/>
          <w:sz w:val="32"/>
          <w:szCs w:val="32"/>
        </w:rPr>
      </w:pPr>
      <w:r>
        <w:rPr>
          <w:rFonts w:hint="eastAsia" w:ascii="Times New Roman" w:hAnsi="Times New Roman" w:eastAsia="仿宋" w:cs="Times New Roman"/>
          <w:sz w:val="32"/>
          <w:szCs w:val="32"/>
        </w:rPr>
        <w:t>附件：</w:t>
      </w:r>
    </w:p>
    <w:p>
      <w:pPr>
        <w:jc w:val="center"/>
        <w:rPr>
          <w:rFonts w:hint="eastAsia" w:ascii="宋体" w:hAnsi="宋体" w:eastAsia="宋体" w:cs="宋体"/>
          <w:b/>
          <w:bCs/>
          <w:sz w:val="44"/>
          <w:szCs w:val="44"/>
        </w:rPr>
      </w:pPr>
      <w:r>
        <w:rPr>
          <w:rFonts w:hint="eastAsia" w:ascii="宋体" w:hAnsi="宋体" w:eastAsia="宋体" w:cs="宋体"/>
          <w:b/>
          <w:bCs/>
          <w:sz w:val="44"/>
          <w:szCs w:val="44"/>
        </w:rPr>
        <w:t>银州区工人街道2019年度政府信息工作</w:t>
      </w:r>
    </w:p>
    <w:p>
      <w:pPr>
        <w:jc w:val="center"/>
        <w:rPr>
          <w:rFonts w:hint="eastAsia" w:ascii="宋体" w:hAnsi="宋体" w:eastAsia="宋体" w:cs="宋体"/>
          <w:b/>
          <w:bCs/>
          <w:sz w:val="44"/>
          <w:szCs w:val="44"/>
        </w:rPr>
      </w:pPr>
      <w:r>
        <w:rPr>
          <w:rFonts w:hint="eastAsia" w:ascii="宋体" w:hAnsi="宋体" w:eastAsia="宋体" w:cs="宋体"/>
          <w:b/>
          <w:bCs/>
          <w:sz w:val="44"/>
          <w:szCs w:val="44"/>
        </w:rPr>
        <w:t>年度报告</w:t>
      </w:r>
    </w:p>
    <w:p>
      <w:pPr>
        <w:rPr>
          <w:rFonts w:ascii="黑体" w:hAnsi="黑体" w:eastAsia="黑体" w:cs="黑体"/>
          <w:sz w:val="32"/>
          <w:szCs w:val="32"/>
        </w:rPr>
      </w:pPr>
      <w:r>
        <w:rPr>
          <w:rFonts w:hint="eastAsia" w:ascii="黑体" w:hAnsi="黑体" w:eastAsia="黑体" w:cs="黑体"/>
          <w:sz w:val="32"/>
          <w:szCs w:val="32"/>
        </w:rPr>
        <w:t>报送单位：工人街道办事处</w:t>
      </w:r>
    </w:p>
    <w:p>
      <w:pPr>
        <w:ind w:firstLine="640" w:firstLineChars="200"/>
        <w:rPr>
          <w:rFonts w:ascii="黑体" w:hAnsi="黑体" w:eastAsia="黑体" w:cs="Times New Roman"/>
          <w:sz w:val="32"/>
          <w:szCs w:val="32"/>
        </w:rPr>
      </w:pPr>
      <w:r>
        <w:rPr>
          <w:rFonts w:hint="eastAsia" w:ascii="黑体" w:hAnsi="黑体" w:eastAsia="黑体" w:cs="Times New Roman"/>
          <w:sz w:val="32"/>
          <w:szCs w:val="32"/>
        </w:rPr>
        <w:t>一、总体情况</w:t>
      </w:r>
    </w:p>
    <w:p>
      <w:pPr>
        <w:ind w:firstLine="640" w:firstLineChars="200"/>
        <w:rPr>
          <w:rFonts w:hint="eastAsia" w:ascii="仿宋" w:hAnsi="仿宋" w:eastAsia="仿宋"/>
          <w:sz w:val="32"/>
          <w:szCs w:val="32"/>
        </w:rPr>
      </w:pPr>
      <w:r>
        <w:rPr>
          <w:rFonts w:hint="eastAsia" w:ascii="仿宋" w:hAnsi="仿宋" w:eastAsia="仿宋"/>
          <w:sz w:val="32"/>
          <w:szCs w:val="32"/>
        </w:rPr>
        <w:t>2019年在区政府的正确领导下，工人街道结合工作实际，认真做好政务公开工作，不断规范公开内容，扩大公开范围，强化公开监督，力促行政权力公开透明运行，推动政府职能转变，全面加强政务服务体系建设，营造了良好的政务服务环境。</w:t>
      </w:r>
      <w:r>
        <w:rPr>
          <w:rFonts w:hint="eastAsia" w:ascii="仿宋" w:hAnsi="仿宋" w:eastAsia="仿宋"/>
          <w:sz w:val="32"/>
          <w:szCs w:val="32"/>
        </w:rPr>
        <w:br w:type="textWrapping"/>
      </w:r>
      <w:r>
        <w:rPr>
          <w:rFonts w:hint="eastAsia" w:ascii="仿宋" w:hAnsi="仿宋" w:eastAsia="仿宋"/>
          <w:sz w:val="32"/>
          <w:szCs w:val="32"/>
        </w:rPr>
        <w:t>　　</w:t>
      </w:r>
      <w:r>
        <w:rPr>
          <w:rFonts w:hint="eastAsia" w:ascii="黑体" w:hAnsi="黑体" w:eastAsia="黑体"/>
          <w:sz w:val="32"/>
          <w:szCs w:val="32"/>
        </w:rPr>
        <w:t>（一）强化组织领导，统筹信息公开工作。</w:t>
      </w:r>
      <w:r>
        <w:rPr>
          <w:rFonts w:hint="eastAsia" w:ascii="仿宋" w:hAnsi="仿宋" w:eastAsia="仿宋"/>
          <w:sz w:val="32"/>
          <w:szCs w:val="32"/>
        </w:rPr>
        <w:t>加强组织领导。按照区政府要求，结合工人街道实际，研究部署政务公开工作的落实情况。成立工人街道信息公开工作领导小组，由办事处主任任组长，副主任为副组长，专职联络员一人，所辖十个社区负责人为成员。</w:t>
      </w:r>
    </w:p>
    <w:p>
      <w:pPr>
        <w:ind w:firstLine="640" w:firstLineChars="200"/>
        <w:rPr>
          <w:rFonts w:hint="eastAsia" w:ascii="黑体" w:hAnsi="黑体" w:eastAsia="黑体"/>
          <w:sz w:val="32"/>
          <w:szCs w:val="32"/>
        </w:rPr>
      </w:pPr>
      <w:r>
        <w:rPr>
          <w:rFonts w:hint="eastAsia" w:ascii="黑体" w:hAnsi="黑体" w:eastAsia="黑体"/>
          <w:sz w:val="32"/>
          <w:szCs w:val="32"/>
        </w:rPr>
        <w:t>（二）完善对外服务窗口。</w:t>
      </w:r>
      <w:r>
        <w:rPr>
          <w:rFonts w:hint="eastAsia" w:ascii="仿宋" w:hAnsi="仿宋" w:eastAsia="仿宋"/>
          <w:sz w:val="32"/>
          <w:szCs w:val="32"/>
        </w:rPr>
        <w:t>认真落实“三公开”、首问负责、一次性告知等制度，我街在一站式大厅公开机关干部职务姓名、办公电话、工作职责并张贴办事指南及办事流程。</w:t>
      </w:r>
    </w:p>
    <w:p>
      <w:pPr>
        <w:ind w:firstLine="640" w:firstLineChars="200"/>
        <w:rPr>
          <w:rFonts w:hint="eastAsia" w:ascii="宋体" w:hAnsi="宋体"/>
          <w:sz w:val="32"/>
          <w:szCs w:val="32"/>
        </w:rPr>
      </w:pPr>
      <w:r>
        <w:rPr>
          <w:rFonts w:hint="eastAsia" w:ascii="黑体" w:hAnsi="黑体" w:eastAsia="黑体"/>
          <w:sz w:val="32"/>
          <w:szCs w:val="32"/>
        </w:rPr>
        <w:t>（三）深入群众、全面开展。</w:t>
      </w:r>
      <w:r>
        <w:rPr>
          <w:rFonts w:hint="eastAsia" w:ascii="仿宋" w:hAnsi="仿宋" w:eastAsia="仿宋"/>
          <w:sz w:val="32"/>
          <w:szCs w:val="32"/>
        </w:rPr>
        <w:t>在5月15日活动当天，工人街道政务公开领导小组组织辖区10个社区开展丰富多彩的宣传活动。我们不仅向居民宣传了街道、社区所履行的实际职能和一些工作的办理程序，还重点宣传了“放管服”改革、审批服务“马上办、网上办、就</w:t>
      </w:r>
      <w:r>
        <w:rPr>
          <w:rFonts w:hint="eastAsia" w:ascii="仿宋" w:hAnsi="仿宋" w:eastAsia="仿宋"/>
          <w:sz w:val="32"/>
          <w:szCs w:val="32"/>
          <w:lang w:eastAsia="zh-CN"/>
        </w:rPr>
        <w:t>近</w:t>
      </w:r>
      <w:r>
        <w:rPr>
          <w:rFonts w:hint="eastAsia" w:ascii="仿宋" w:hAnsi="仿宋" w:eastAsia="仿宋"/>
          <w:sz w:val="32"/>
          <w:szCs w:val="32"/>
        </w:rPr>
        <w:t>办、一次办”、简政放权、政务服务标准化等方面的改革成果。还就居民们所关心的有关方面的热点和难点问题一一给予耐心的解答，此次活动共接访群众约1200余人，现场咨询解答人数约500人，粘贴发放传单2000余份，悬挂条幅10条，收到了来访群众的一致好评。我街坚持严格依法、全面真实、及时便民的原则，对各类行政管理和公共服务事项如实公开。</w:t>
      </w:r>
    </w:p>
    <w:p>
      <w:pPr>
        <w:ind w:firstLine="640" w:firstLineChars="200"/>
        <w:rPr>
          <w:rFonts w:hint="eastAsia" w:ascii="仿宋" w:hAnsi="仿宋" w:eastAsia="仿宋"/>
          <w:sz w:val="32"/>
          <w:szCs w:val="32"/>
        </w:rPr>
      </w:pPr>
      <w:r>
        <w:rPr>
          <w:rFonts w:hint="eastAsia" w:ascii="黑体" w:hAnsi="黑体" w:eastAsia="黑体"/>
          <w:sz w:val="32"/>
          <w:szCs w:val="32"/>
        </w:rPr>
        <w:t>（四）政府信息公开情况</w:t>
      </w:r>
      <w:r>
        <w:rPr>
          <w:rFonts w:hint="eastAsia" w:ascii="黑体" w:hAnsi="黑体" w:eastAsia="黑体"/>
          <w:sz w:val="32"/>
          <w:szCs w:val="32"/>
        </w:rPr>
        <w:br w:type="textWrapping"/>
      </w:r>
      <w:r>
        <w:rPr>
          <w:rFonts w:hint="eastAsia" w:ascii="仿宋" w:hAnsi="仿宋" w:eastAsia="仿宋"/>
          <w:sz w:val="32"/>
          <w:szCs w:val="32"/>
        </w:rPr>
        <w:t>　　1.上报政务信息21个，重强抓政务信息5期</w:t>
      </w:r>
    </w:p>
    <w:p>
      <w:pPr>
        <w:ind w:firstLine="640" w:firstLineChars="200"/>
        <w:rPr>
          <w:rFonts w:ascii="黑体" w:hAnsi="黑体" w:eastAsia="黑体" w:cs="Times New Roman"/>
          <w:sz w:val="32"/>
          <w:szCs w:val="32"/>
        </w:rPr>
      </w:pPr>
      <w:r>
        <w:rPr>
          <w:rFonts w:hint="eastAsia" w:ascii="仿宋" w:hAnsi="仿宋" w:eastAsia="仿宋"/>
          <w:sz w:val="32"/>
          <w:szCs w:val="32"/>
        </w:rPr>
        <w:t>2.主动公开政府信息情况：无</w:t>
      </w:r>
      <w:r>
        <w:rPr>
          <w:rFonts w:hint="eastAsia" w:ascii="仿宋" w:hAnsi="仿宋" w:eastAsia="仿宋"/>
          <w:sz w:val="32"/>
          <w:szCs w:val="32"/>
        </w:rPr>
        <w:br w:type="textWrapping"/>
      </w:r>
      <w:r>
        <w:rPr>
          <w:rFonts w:hint="eastAsia" w:ascii="仿宋" w:hAnsi="仿宋" w:eastAsia="仿宋"/>
          <w:sz w:val="32"/>
          <w:szCs w:val="32"/>
        </w:rPr>
        <w:t>　　3.收到和处理政府信息公开申请情况：无</w:t>
      </w:r>
      <w:r>
        <w:rPr>
          <w:rFonts w:hint="eastAsia" w:ascii="仿宋" w:hAnsi="仿宋" w:eastAsia="仿宋"/>
          <w:sz w:val="32"/>
          <w:szCs w:val="32"/>
        </w:rPr>
        <w:br w:type="textWrapping"/>
      </w:r>
      <w:r>
        <w:rPr>
          <w:rFonts w:hint="eastAsia" w:ascii="仿宋" w:hAnsi="仿宋" w:eastAsia="仿宋"/>
          <w:sz w:val="32"/>
          <w:szCs w:val="32"/>
        </w:rPr>
        <w:t>　　4.政府信息公开申请行政复议、行政诉讼情况：无</w:t>
      </w:r>
      <w:r>
        <w:rPr>
          <w:rFonts w:hint="eastAsia" w:ascii="仿宋" w:hAnsi="仿宋" w:eastAsia="仿宋"/>
          <w:sz w:val="32"/>
          <w:szCs w:val="32"/>
        </w:rPr>
        <w:br w:type="textWrapping"/>
      </w:r>
      <w:r>
        <w:rPr>
          <w:rFonts w:hint="eastAsia" w:ascii="黑体" w:hAnsi="黑体" w:eastAsia="黑体" w:cs="Times New Roman"/>
          <w:sz w:val="32"/>
          <w:szCs w:val="32"/>
        </w:rPr>
        <w:t>二、主动公开政府信息情况</w:t>
      </w:r>
    </w:p>
    <w:tbl>
      <w:tblPr>
        <w:tblStyle w:val="5"/>
        <w:tblW w:w="8140" w:type="dxa"/>
        <w:jc w:val="center"/>
        <w:tblLayout w:type="autofit"/>
        <w:tblCellMar>
          <w:top w:w="0" w:type="dxa"/>
          <w:left w:w="108" w:type="dxa"/>
          <w:bottom w:w="0" w:type="dxa"/>
          <w:right w:w="108" w:type="dxa"/>
        </w:tblCellMar>
      </w:tblPr>
      <w:tblGrid>
        <w:gridCol w:w="3113"/>
        <w:gridCol w:w="1875"/>
        <w:gridCol w:w="6"/>
        <w:gridCol w:w="1265"/>
        <w:gridCol w:w="1881"/>
      </w:tblGrid>
      <w:tr>
        <w:tblPrEx>
          <w:tblCellMar>
            <w:top w:w="0" w:type="dxa"/>
            <w:left w:w="108" w:type="dxa"/>
            <w:bottom w:w="0" w:type="dxa"/>
            <w:right w:w="108" w:type="dxa"/>
          </w:tblCellMar>
        </w:tblPrEx>
        <w:trPr>
          <w:trHeight w:val="495" w:hRule="atLeast"/>
          <w:jc w:val="center"/>
        </w:trPr>
        <w:tc>
          <w:tcPr>
            <w:tcW w:w="8140" w:type="dxa"/>
            <w:gridSpan w:val="5"/>
            <w:tcBorders>
              <w:top w:val="single" w:color="auto" w:sz="4" w:space="0"/>
              <w:left w:val="single" w:color="auto" w:sz="4" w:space="0"/>
              <w:bottom w:val="single" w:color="auto" w:sz="4" w:space="0"/>
              <w:right w:val="single" w:color="auto" w:sz="4" w:space="0"/>
            </w:tcBorders>
            <w:shd w:val="clear" w:color="auto" w:fill="C6D9F1"/>
            <w:noWrap/>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第二十条第（一）项</w:t>
            </w:r>
          </w:p>
        </w:tc>
      </w:tr>
      <w:tr>
        <w:tblPrEx>
          <w:tblCellMar>
            <w:top w:w="0" w:type="dxa"/>
            <w:left w:w="108" w:type="dxa"/>
            <w:bottom w:w="0" w:type="dxa"/>
            <w:right w:w="108" w:type="dxa"/>
          </w:tblCellMar>
        </w:tblPrEx>
        <w:trPr>
          <w:trHeight w:val="882"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信息内容</w:t>
            </w:r>
          </w:p>
        </w:tc>
        <w:tc>
          <w:tcPr>
            <w:tcW w:w="1875" w:type="dxa"/>
            <w:tcBorders>
              <w:top w:val="single" w:color="auto" w:sz="4" w:space="0"/>
              <w:left w:val="nil"/>
              <w:bottom w:val="single" w:color="auto" w:sz="4" w:space="0"/>
              <w:right w:val="single" w:color="auto" w:sz="4" w:space="0"/>
            </w:tcBorders>
            <w:noWrap/>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本年新</w:t>
            </w:r>
            <w:r>
              <w:rPr>
                <w:rFonts w:hint="eastAsia" w:ascii="宋体" w:hAnsi="宋体" w:eastAsia="宋体" w:cs="宋体"/>
                <w:color w:val="000000"/>
                <w:kern w:val="0"/>
                <w:sz w:val="20"/>
                <w:szCs w:val="20"/>
              </w:rPr>
              <w:br w:type="textWrapping"/>
            </w:r>
            <w:r>
              <w:rPr>
                <w:rFonts w:hint="eastAsia" w:ascii="宋体" w:hAnsi="宋体" w:eastAsia="宋体" w:cs="宋体"/>
                <w:color w:val="333333"/>
                <w:kern w:val="0"/>
                <w:sz w:val="20"/>
                <w:szCs w:val="20"/>
              </w:rPr>
              <w:t>制作数量</w:t>
            </w:r>
          </w:p>
        </w:tc>
        <w:tc>
          <w:tcPr>
            <w:tcW w:w="1271" w:type="dxa"/>
            <w:gridSpan w:val="2"/>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本年新</w:t>
            </w:r>
            <w:r>
              <w:rPr>
                <w:rFonts w:hint="eastAsia" w:ascii="宋体" w:hAnsi="宋体" w:eastAsia="宋体" w:cs="宋体"/>
                <w:color w:val="000000"/>
                <w:kern w:val="0"/>
                <w:sz w:val="20"/>
                <w:szCs w:val="20"/>
              </w:rPr>
              <w:br w:type="textWrapping"/>
            </w:r>
            <w:r>
              <w:rPr>
                <w:rFonts w:hint="eastAsia" w:ascii="宋体" w:hAnsi="宋体" w:eastAsia="宋体" w:cs="宋体"/>
                <w:color w:val="333333"/>
                <w:kern w:val="0"/>
                <w:sz w:val="20"/>
                <w:szCs w:val="20"/>
              </w:rPr>
              <w:t>公开数量</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对外公开总数量</w:t>
            </w:r>
          </w:p>
        </w:tc>
      </w:tr>
      <w:tr>
        <w:tblPrEx>
          <w:tblCellMar>
            <w:top w:w="0" w:type="dxa"/>
            <w:left w:w="108" w:type="dxa"/>
            <w:bottom w:w="0" w:type="dxa"/>
            <w:right w:w="108" w:type="dxa"/>
          </w:tblCellMar>
        </w:tblPrEx>
        <w:trPr>
          <w:trHeight w:val="523"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宋体" w:hAnsi="宋体" w:eastAsia="宋体" w:cs="宋体"/>
                <w:color w:val="000000"/>
                <w:kern w:val="0"/>
                <w:sz w:val="20"/>
                <w:szCs w:val="20"/>
              </w:rPr>
              <w:t>规章</w:t>
            </w:r>
          </w:p>
        </w:tc>
        <w:tc>
          <w:tcPr>
            <w:tcW w:w="1875" w:type="dxa"/>
            <w:tcBorders>
              <w:top w:val="single" w:color="auto" w:sz="4" w:space="0"/>
              <w:left w:val="nil"/>
              <w:bottom w:val="single" w:color="auto" w:sz="4" w:space="0"/>
              <w:right w:val="single" w:color="auto" w:sz="4" w:space="0"/>
            </w:tcBorders>
            <w:noWrap/>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宋体" w:hAnsi="宋体" w:eastAsia="宋体" w:cs="宋体"/>
                <w:color w:val="000000"/>
                <w:kern w:val="0"/>
                <w:sz w:val="20"/>
                <w:szCs w:val="20"/>
              </w:rPr>
              <w:t xml:space="preserve">  0</w:t>
            </w:r>
          </w:p>
        </w:tc>
        <w:tc>
          <w:tcPr>
            <w:tcW w:w="1271" w:type="dxa"/>
            <w:gridSpan w:val="2"/>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宋体" w:hAnsi="Calibri" w:eastAsia="宋体" w:cs="Times New Roman"/>
                <w:color w:val="000000"/>
                <w:kern w:val="0"/>
                <w:sz w:val="20"/>
                <w:szCs w:val="20"/>
              </w:rPr>
              <w:t> 0</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宋体" w:hAnsi="宋体" w:eastAsia="宋体" w:cs="宋体"/>
                <w:color w:val="000000"/>
                <w:kern w:val="0"/>
                <w:sz w:val="20"/>
                <w:szCs w:val="20"/>
              </w:rPr>
              <w:t>　0</w:t>
            </w:r>
          </w:p>
        </w:tc>
      </w:tr>
      <w:tr>
        <w:tblPrEx>
          <w:tblCellMar>
            <w:top w:w="0" w:type="dxa"/>
            <w:left w:w="108" w:type="dxa"/>
            <w:bottom w:w="0" w:type="dxa"/>
            <w:right w:w="108" w:type="dxa"/>
          </w:tblCellMar>
        </w:tblPrEx>
        <w:trPr>
          <w:trHeight w:val="471"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宋体" w:hAnsi="宋体" w:eastAsia="宋体" w:cs="宋体"/>
                <w:color w:val="000000"/>
                <w:kern w:val="0"/>
                <w:sz w:val="20"/>
                <w:szCs w:val="20"/>
              </w:rPr>
              <w:t>规范性文件</w:t>
            </w:r>
          </w:p>
        </w:tc>
        <w:tc>
          <w:tcPr>
            <w:tcW w:w="1875"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宋体" w:hAnsi="宋体" w:eastAsia="宋体" w:cs="宋体"/>
                <w:color w:val="000000"/>
                <w:kern w:val="0"/>
                <w:sz w:val="20"/>
                <w:szCs w:val="20"/>
              </w:rPr>
              <w:t xml:space="preserve">  0</w:t>
            </w:r>
          </w:p>
        </w:tc>
        <w:tc>
          <w:tcPr>
            <w:tcW w:w="1271" w:type="dxa"/>
            <w:gridSpan w:val="2"/>
            <w:tcBorders>
              <w:top w:val="nil"/>
              <w:left w:val="nil"/>
              <w:bottom w:val="single" w:color="auto" w:sz="4" w:space="0"/>
              <w:right w:val="single" w:color="auto" w:sz="4" w:space="0"/>
            </w:tcBorders>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宋体" w:hAnsi="Calibri" w:eastAsia="宋体" w:cs="Times New Roman"/>
                <w:color w:val="000000"/>
                <w:kern w:val="0"/>
                <w:sz w:val="20"/>
                <w:szCs w:val="20"/>
              </w:rPr>
              <w:t> 0</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宋体" w:hAnsi="宋体" w:eastAsia="宋体" w:cs="宋体"/>
                <w:color w:val="000000"/>
                <w:kern w:val="0"/>
                <w:sz w:val="20"/>
                <w:szCs w:val="20"/>
              </w:rPr>
              <w:t>　0</w:t>
            </w:r>
          </w:p>
        </w:tc>
      </w:tr>
      <w:tr>
        <w:tblPrEx>
          <w:tblCellMar>
            <w:top w:w="0" w:type="dxa"/>
            <w:left w:w="108" w:type="dxa"/>
            <w:bottom w:w="0" w:type="dxa"/>
            <w:right w:w="108" w:type="dxa"/>
          </w:tblCellMar>
        </w:tblPrEx>
        <w:trPr>
          <w:trHeight w:val="480" w:hRule="atLeast"/>
          <w:jc w:val="center"/>
        </w:trPr>
        <w:tc>
          <w:tcPr>
            <w:tcW w:w="8140" w:type="dxa"/>
            <w:gridSpan w:val="5"/>
            <w:tcBorders>
              <w:top w:val="single" w:color="auto" w:sz="4" w:space="0"/>
              <w:left w:val="single" w:color="auto" w:sz="4" w:space="0"/>
              <w:bottom w:val="single" w:color="auto" w:sz="4" w:space="0"/>
              <w:right w:val="single" w:color="auto" w:sz="4" w:space="0"/>
            </w:tcBorders>
            <w:shd w:val="clear" w:color="auto" w:fill="C6D9F1"/>
            <w:noWrap/>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第二十条第（五）项</w:t>
            </w:r>
          </w:p>
        </w:tc>
      </w:tr>
      <w:tr>
        <w:tblPrEx>
          <w:tblCellMar>
            <w:top w:w="0" w:type="dxa"/>
            <w:left w:w="108" w:type="dxa"/>
            <w:bottom w:w="0" w:type="dxa"/>
            <w:right w:w="108" w:type="dxa"/>
          </w:tblCellMar>
        </w:tblPrEx>
        <w:trPr>
          <w:trHeight w:val="634"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信息内容</w:t>
            </w:r>
          </w:p>
        </w:tc>
        <w:tc>
          <w:tcPr>
            <w:tcW w:w="1875" w:type="dxa"/>
            <w:tcBorders>
              <w:top w:val="single" w:color="auto" w:sz="4" w:space="0"/>
              <w:left w:val="nil"/>
              <w:bottom w:val="single" w:color="auto" w:sz="4" w:space="0"/>
              <w:right w:val="single" w:color="auto" w:sz="4" w:space="0"/>
            </w:tcBorders>
            <w:noWrap/>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上一年项目数量</w:t>
            </w:r>
          </w:p>
        </w:tc>
        <w:tc>
          <w:tcPr>
            <w:tcW w:w="1271" w:type="dxa"/>
            <w:gridSpan w:val="2"/>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本年增/减</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处理决定数量</w:t>
            </w:r>
          </w:p>
        </w:tc>
      </w:tr>
      <w:tr>
        <w:tblPrEx>
          <w:tblCellMar>
            <w:top w:w="0" w:type="dxa"/>
            <w:left w:w="108" w:type="dxa"/>
            <w:bottom w:w="0" w:type="dxa"/>
            <w:right w:w="108" w:type="dxa"/>
          </w:tblCellMar>
        </w:tblPrEx>
        <w:trPr>
          <w:trHeight w:val="528"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宋体" w:hAnsi="宋体" w:eastAsia="宋体" w:cs="宋体"/>
                <w:color w:val="000000"/>
                <w:kern w:val="0"/>
                <w:sz w:val="20"/>
                <w:szCs w:val="20"/>
              </w:rPr>
              <w:t>行政许可</w:t>
            </w:r>
          </w:p>
        </w:tc>
        <w:tc>
          <w:tcPr>
            <w:tcW w:w="1881" w:type="dxa"/>
            <w:gridSpan w:val="2"/>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宋体" w:hAnsi="宋体" w:eastAsia="宋体" w:cs="宋体"/>
                <w:color w:val="000000"/>
                <w:kern w:val="0"/>
                <w:sz w:val="20"/>
                <w:szCs w:val="20"/>
              </w:rPr>
              <w:t>　0</w:t>
            </w:r>
          </w:p>
        </w:tc>
        <w:tc>
          <w:tcPr>
            <w:tcW w:w="1265"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宋体" w:hAnsi="宋体" w:eastAsia="宋体" w:cs="宋体"/>
                <w:color w:val="000000"/>
                <w:kern w:val="0"/>
                <w:sz w:val="20"/>
                <w:szCs w:val="20"/>
              </w:rPr>
              <w:t>　0</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宋体" w:hAnsi="宋体" w:eastAsia="宋体" w:cs="宋体"/>
                <w:color w:val="000000"/>
                <w:kern w:val="0"/>
                <w:sz w:val="20"/>
                <w:szCs w:val="20"/>
              </w:rPr>
              <w:t>　0</w:t>
            </w:r>
          </w:p>
        </w:tc>
      </w:tr>
      <w:tr>
        <w:tblPrEx>
          <w:tblCellMar>
            <w:top w:w="0" w:type="dxa"/>
            <w:left w:w="108" w:type="dxa"/>
            <w:bottom w:w="0" w:type="dxa"/>
            <w:right w:w="108" w:type="dxa"/>
          </w:tblCellMar>
        </w:tblPrEx>
        <w:trPr>
          <w:trHeight w:val="550"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宋体" w:hAnsi="宋体" w:eastAsia="宋体" w:cs="宋体"/>
                <w:color w:val="000000"/>
                <w:kern w:val="0"/>
                <w:sz w:val="20"/>
                <w:szCs w:val="20"/>
              </w:rPr>
              <w:t>其他对外管理服务事项</w:t>
            </w:r>
          </w:p>
        </w:tc>
        <w:tc>
          <w:tcPr>
            <w:tcW w:w="1881" w:type="dxa"/>
            <w:gridSpan w:val="2"/>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宋体" w:hAnsi="宋体" w:eastAsia="宋体" w:cs="宋体"/>
                <w:color w:val="000000"/>
                <w:kern w:val="0"/>
                <w:sz w:val="20"/>
                <w:szCs w:val="20"/>
              </w:rPr>
              <w:t>　0</w:t>
            </w:r>
          </w:p>
        </w:tc>
        <w:tc>
          <w:tcPr>
            <w:tcW w:w="1265"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宋体" w:hAnsi="宋体" w:eastAsia="宋体" w:cs="宋体"/>
                <w:color w:val="000000"/>
                <w:kern w:val="0"/>
                <w:sz w:val="20"/>
                <w:szCs w:val="20"/>
              </w:rPr>
              <w:t>　0</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宋体" w:hAnsi="宋体" w:eastAsia="宋体" w:cs="宋体"/>
                <w:color w:val="000000"/>
                <w:kern w:val="0"/>
                <w:sz w:val="20"/>
                <w:szCs w:val="20"/>
              </w:rPr>
              <w:t>　0</w:t>
            </w:r>
          </w:p>
        </w:tc>
      </w:tr>
      <w:tr>
        <w:tblPrEx>
          <w:tblCellMar>
            <w:top w:w="0" w:type="dxa"/>
            <w:left w:w="108" w:type="dxa"/>
            <w:bottom w:w="0" w:type="dxa"/>
            <w:right w:w="108" w:type="dxa"/>
          </w:tblCellMar>
        </w:tblPrEx>
        <w:trPr>
          <w:trHeight w:val="406" w:hRule="atLeast"/>
          <w:jc w:val="center"/>
        </w:trPr>
        <w:tc>
          <w:tcPr>
            <w:tcW w:w="8140" w:type="dxa"/>
            <w:gridSpan w:val="5"/>
            <w:tcBorders>
              <w:top w:val="single" w:color="auto" w:sz="4" w:space="0"/>
              <w:left w:val="single" w:color="auto" w:sz="4" w:space="0"/>
              <w:bottom w:val="single" w:color="auto" w:sz="4" w:space="0"/>
              <w:right w:val="single" w:color="auto" w:sz="4" w:space="0"/>
            </w:tcBorders>
            <w:shd w:val="clear" w:color="auto" w:fill="C6D9F1"/>
            <w:noWrap/>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第二十条第（六）项</w:t>
            </w:r>
          </w:p>
        </w:tc>
      </w:tr>
      <w:tr>
        <w:tblPrEx>
          <w:tblCellMar>
            <w:top w:w="0" w:type="dxa"/>
            <w:left w:w="108" w:type="dxa"/>
            <w:bottom w:w="0" w:type="dxa"/>
            <w:right w:w="108" w:type="dxa"/>
          </w:tblCellMar>
        </w:tblPrEx>
        <w:trPr>
          <w:trHeight w:val="634"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信息内容</w:t>
            </w:r>
          </w:p>
        </w:tc>
        <w:tc>
          <w:tcPr>
            <w:tcW w:w="1875" w:type="dxa"/>
            <w:tcBorders>
              <w:top w:val="single" w:color="auto" w:sz="4" w:space="0"/>
              <w:left w:val="nil"/>
              <w:bottom w:val="single" w:color="auto" w:sz="4" w:space="0"/>
              <w:right w:val="single" w:color="auto" w:sz="4" w:space="0"/>
            </w:tcBorders>
            <w:noWrap/>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上一年项目数量</w:t>
            </w:r>
          </w:p>
        </w:tc>
        <w:tc>
          <w:tcPr>
            <w:tcW w:w="1271" w:type="dxa"/>
            <w:gridSpan w:val="2"/>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本年增/减</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处理决定数量</w:t>
            </w:r>
          </w:p>
        </w:tc>
      </w:tr>
      <w:tr>
        <w:tblPrEx>
          <w:tblCellMar>
            <w:top w:w="0" w:type="dxa"/>
            <w:left w:w="108" w:type="dxa"/>
            <w:bottom w:w="0" w:type="dxa"/>
            <w:right w:w="108" w:type="dxa"/>
          </w:tblCellMar>
        </w:tblPrEx>
        <w:trPr>
          <w:trHeight w:val="430"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宋体" w:hAnsi="宋体" w:eastAsia="宋体" w:cs="宋体"/>
                <w:color w:val="000000"/>
                <w:kern w:val="0"/>
                <w:sz w:val="20"/>
                <w:szCs w:val="20"/>
              </w:rPr>
              <w:t>行政处罚</w:t>
            </w:r>
          </w:p>
        </w:tc>
        <w:tc>
          <w:tcPr>
            <w:tcW w:w="1881" w:type="dxa"/>
            <w:gridSpan w:val="2"/>
            <w:tcBorders>
              <w:top w:val="single" w:color="auto" w:sz="4" w:space="0"/>
              <w:left w:val="nil"/>
              <w:bottom w:val="single" w:color="auto" w:sz="4" w:space="0"/>
              <w:right w:val="single" w:color="auto" w:sz="4" w:space="0"/>
            </w:tcBorders>
            <w:noWrap/>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宋体" w:hAnsi="宋体" w:eastAsia="宋体" w:cs="宋体"/>
                <w:color w:val="000000"/>
                <w:kern w:val="0"/>
                <w:sz w:val="20"/>
                <w:szCs w:val="20"/>
              </w:rPr>
              <w:t>　0</w:t>
            </w:r>
          </w:p>
        </w:tc>
        <w:tc>
          <w:tcPr>
            <w:tcW w:w="1265" w:type="dxa"/>
            <w:tcBorders>
              <w:top w:val="single" w:color="auto" w:sz="4" w:space="0"/>
              <w:left w:val="nil"/>
              <w:bottom w:val="single" w:color="auto" w:sz="4" w:space="0"/>
              <w:right w:val="single" w:color="auto" w:sz="4" w:space="0"/>
            </w:tcBorders>
            <w:noWrap/>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宋体" w:hAnsi="宋体" w:eastAsia="宋体" w:cs="宋体"/>
                <w:color w:val="000000"/>
                <w:kern w:val="0"/>
                <w:sz w:val="20"/>
                <w:szCs w:val="20"/>
              </w:rPr>
              <w:t>　0</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宋体" w:hAnsi="宋体" w:eastAsia="宋体" w:cs="宋体"/>
                <w:color w:val="000000"/>
                <w:kern w:val="0"/>
                <w:sz w:val="20"/>
                <w:szCs w:val="20"/>
              </w:rPr>
              <w:t>　0</w:t>
            </w:r>
          </w:p>
        </w:tc>
      </w:tr>
      <w:tr>
        <w:tblPrEx>
          <w:tblCellMar>
            <w:top w:w="0" w:type="dxa"/>
            <w:left w:w="108" w:type="dxa"/>
            <w:bottom w:w="0" w:type="dxa"/>
            <w:right w:w="108" w:type="dxa"/>
          </w:tblCellMar>
        </w:tblPrEx>
        <w:trPr>
          <w:trHeight w:val="409"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宋体" w:hAnsi="宋体" w:eastAsia="宋体" w:cs="宋体"/>
                <w:color w:val="000000"/>
                <w:kern w:val="0"/>
                <w:sz w:val="20"/>
                <w:szCs w:val="20"/>
              </w:rPr>
              <w:t>行政强制</w:t>
            </w:r>
          </w:p>
        </w:tc>
        <w:tc>
          <w:tcPr>
            <w:tcW w:w="1881" w:type="dxa"/>
            <w:gridSpan w:val="2"/>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宋体" w:hAnsi="宋体" w:eastAsia="宋体" w:cs="宋体"/>
                <w:color w:val="000000"/>
                <w:kern w:val="0"/>
                <w:sz w:val="20"/>
                <w:szCs w:val="20"/>
              </w:rPr>
              <w:t>　0</w:t>
            </w:r>
          </w:p>
        </w:tc>
        <w:tc>
          <w:tcPr>
            <w:tcW w:w="1265"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宋体" w:hAnsi="宋体" w:eastAsia="宋体" w:cs="宋体"/>
                <w:color w:val="000000"/>
                <w:kern w:val="0"/>
                <w:sz w:val="20"/>
                <w:szCs w:val="20"/>
              </w:rPr>
              <w:t>　0</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宋体" w:hAnsi="宋体" w:eastAsia="宋体" w:cs="宋体"/>
                <w:color w:val="000000"/>
                <w:kern w:val="0"/>
                <w:sz w:val="20"/>
                <w:szCs w:val="20"/>
              </w:rPr>
              <w:t>　0</w:t>
            </w:r>
          </w:p>
        </w:tc>
      </w:tr>
      <w:tr>
        <w:tblPrEx>
          <w:tblCellMar>
            <w:top w:w="0" w:type="dxa"/>
            <w:left w:w="108" w:type="dxa"/>
            <w:bottom w:w="0" w:type="dxa"/>
            <w:right w:w="108" w:type="dxa"/>
          </w:tblCellMar>
        </w:tblPrEx>
        <w:trPr>
          <w:trHeight w:val="474" w:hRule="atLeast"/>
          <w:jc w:val="center"/>
        </w:trPr>
        <w:tc>
          <w:tcPr>
            <w:tcW w:w="8140" w:type="dxa"/>
            <w:gridSpan w:val="5"/>
            <w:tcBorders>
              <w:top w:val="single" w:color="auto" w:sz="4" w:space="0"/>
              <w:left w:val="single" w:color="auto" w:sz="4" w:space="0"/>
              <w:bottom w:val="single" w:color="auto" w:sz="4" w:space="0"/>
              <w:right w:val="single" w:color="auto" w:sz="4" w:space="0"/>
            </w:tcBorders>
            <w:shd w:val="clear" w:color="auto" w:fill="C6D9F1"/>
            <w:noWrap/>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第二十条第（八）项</w:t>
            </w:r>
          </w:p>
        </w:tc>
      </w:tr>
      <w:tr>
        <w:tblPrEx>
          <w:tblCellMar>
            <w:top w:w="0" w:type="dxa"/>
            <w:left w:w="108" w:type="dxa"/>
            <w:bottom w:w="0" w:type="dxa"/>
            <w:right w:w="108" w:type="dxa"/>
          </w:tblCellMar>
        </w:tblPrEx>
        <w:trPr>
          <w:trHeight w:val="270"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信息内容</w:t>
            </w:r>
          </w:p>
        </w:tc>
        <w:tc>
          <w:tcPr>
            <w:tcW w:w="1881" w:type="dxa"/>
            <w:gridSpan w:val="2"/>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宋体" w:hAnsi="宋体" w:eastAsia="宋体" w:cs="宋体"/>
                <w:color w:val="000000"/>
                <w:kern w:val="0"/>
                <w:sz w:val="20"/>
                <w:szCs w:val="20"/>
              </w:rPr>
              <w:t>上一年项目数量</w:t>
            </w:r>
          </w:p>
        </w:tc>
        <w:tc>
          <w:tcPr>
            <w:tcW w:w="3146" w:type="dxa"/>
            <w:gridSpan w:val="2"/>
            <w:tcBorders>
              <w:top w:val="single" w:color="auto" w:sz="4" w:space="0"/>
              <w:left w:val="nil"/>
              <w:bottom w:val="single" w:color="auto" w:sz="4" w:space="0"/>
              <w:right w:val="single" w:color="000000" w:sz="4" w:space="0"/>
            </w:tcBorders>
            <w:noWrap/>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本年增/减</w:t>
            </w:r>
          </w:p>
        </w:tc>
      </w:tr>
      <w:tr>
        <w:tblPrEx>
          <w:tblCellMar>
            <w:top w:w="0" w:type="dxa"/>
            <w:left w:w="108" w:type="dxa"/>
            <w:bottom w:w="0" w:type="dxa"/>
            <w:right w:w="108" w:type="dxa"/>
          </w:tblCellMar>
        </w:tblPrEx>
        <w:trPr>
          <w:trHeight w:val="551"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宋体" w:hAnsi="宋体" w:eastAsia="宋体" w:cs="宋体"/>
                <w:color w:val="000000"/>
                <w:kern w:val="0"/>
                <w:sz w:val="20"/>
                <w:szCs w:val="20"/>
              </w:rPr>
              <w:t>行政事业性收费</w:t>
            </w:r>
          </w:p>
        </w:tc>
        <w:tc>
          <w:tcPr>
            <w:tcW w:w="1881" w:type="dxa"/>
            <w:gridSpan w:val="2"/>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宋体" w:hAnsi="宋体" w:eastAsia="宋体" w:cs="宋体"/>
                <w:color w:val="000000"/>
                <w:kern w:val="0"/>
                <w:sz w:val="20"/>
                <w:szCs w:val="20"/>
              </w:rPr>
              <w:t>　0</w:t>
            </w:r>
          </w:p>
        </w:tc>
        <w:tc>
          <w:tcPr>
            <w:tcW w:w="3146" w:type="dxa"/>
            <w:gridSpan w:val="2"/>
            <w:tcBorders>
              <w:top w:val="single" w:color="auto" w:sz="4" w:space="0"/>
              <w:left w:val="nil"/>
              <w:bottom w:val="single" w:color="auto" w:sz="4" w:space="0"/>
              <w:right w:val="single" w:color="000000" w:sz="4" w:space="0"/>
            </w:tcBorders>
            <w:noWrap/>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Calibri" w:eastAsia="宋体" w:cs="Times New Roman"/>
                <w:color w:val="000000"/>
                <w:kern w:val="0"/>
                <w:sz w:val="20"/>
                <w:szCs w:val="20"/>
              </w:rPr>
              <w:t> </w:t>
            </w:r>
            <w:r>
              <w:rPr>
                <w:rFonts w:hint="eastAsia" w:ascii="宋体" w:hAnsi="宋体" w:eastAsia="宋体" w:cs="宋体"/>
                <w:color w:val="000000"/>
                <w:kern w:val="0"/>
                <w:sz w:val="20"/>
                <w:szCs w:val="20"/>
              </w:rPr>
              <w:t>0</w:t>
            </w:r>
          </w:p>
        </w:tc>
      </w:tr>
      <w:tr>
        <w:tblPrEx>
          <w:tblCellMar>
            <w:top w:w="0" w:type="dxa"/>
            <w:left w:w="108" w:type="dxa"/>
            <w:bottom w:w="0" w:type="dxa"/>
            <w:right w:w="108" w:type="dxa"/>
          </w:tblCellMar>
        </w:tblPrEx>
        <w:trPr>
          <w:trHeight w:val="476" w:hRule="atLeast"/>
          <w:jc w:val="center"/>
        </w:trPr>
        <w:tc>
          <w:tcPr>
            <w:tcW w:w="8140" w:type="dxa"/>
            <w:gridSpan w:val="5"/>
            <w:tcBorders>
              <w:top w:val="single" w:color="auto" w:sz="4" w:space="0"/>
              <w:left w:val="single" w:color="auto" w:sz="4" w:space="0"/>
              <w:bottom w:val="single" w:color="auto" w:sz="4" w:space="0"/>
              <w:right w:val="single" w:color="auto" w:sz="4" w:space="0"/>
            </w:tcBorders>
            <w:shd w:val="clear" w:color="auto" w:fill="C6D9F1"/>
            <w:noWrap/>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第二十条第（九）项</w:t>
            </w:r>
          </w:p>
        </w:tc>
      </w:tr>
      <w:tr>
        <w:tblPrEx>
          <w:tblCellMar>
            <w:top w:w="0" w:type="dxa"/>
            <w:left w:w="108" w:type="dxa"/>
            <w:bottom w:w="0" w:type="dxa"/>
            <w:right w:w="108" w:type="dxa"/>
          </w:tblCellMar>
        </w:tblPrEx>
        <w:trPr>
          <w:trHeight w:val="585"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信息内容</w:t>
            </w:r>
          </w:p>
        </w:tc>
        <w:tc>
          <w:tcPr>
            <w:tcW w:w="1881" w:type="dxa"/>
            <w:gridSpan w:val="2"/>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采购项目数量</w:t>
            </w:r>
          </w:p>
        </w:tc>
        <w:tc>
          <w:tcPr>
            <w:tcW w:w="3146" w:type="dxa"/>
            <w:gridSpan w:val="2"/>
            <w:tcBorders>
              <w:top w:val="single" w:color="auto" w:sz="4" w:space="0"/>
              <w:left w:val="nil"/>
              <w:bottom w:val="single" w:color="auto" w:sz="4" w:space="0"/>
              <w:right w:val="single" w:color="000000" w:sz="4" w:space="0"/>
            </w:tcBorders>
            <w:noWrap/>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采购总金额</w:t>
            </w:r>
          </w:p>
        </w:tc>
      </w:tr>
      <w:tr>
        <w:tblPrEx>
          <w:tblCellMar>
            <w:top w:w="0" w:type="dxa"/>
            <w:left w:w="108" w:type="dxa"/>
            <w:bottom w:w="0" w:type="dxa"/>
            <w:right w:w="108" w:type="dxa"/>
          </w:tblCellMar>
        </w:tblPrEx>
        <w:trPr>
          <w:trHeight w:val="539"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宋体" w:hAnsi="宋体" w:eastAsia="宋体" w:cs="宋体"/>
                <w:color w:val="000000"/>
                <w:kern w:val="0"/>
                <w:sz w:val="20"/>
                <w:szCs w:val="20"/>
              </w:rPr>
              <w:t>政府集中采购</w:t>
            </w:r>
          </w:p>
        </w:tc>
        <w:tc>
          <w:tcPr>
            <w:tcW w:w="1881" w:type="dxa"/>
            <w:gridSpan w:val="2"/>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宋体" w:hAnsi="宋体" w:eastAsia="宋体" w:cs="宋体"/>
                <w:color w:val="000000"/>
                <w:kern w:val="0"/>
                <w:sz w:val="20"/>
                <w:szCs w:val="20"/>
              </w:rPr>
              <w:t>　0</w:t>
            </w:r>
          </w:p>
        </w:tc>
        <w:tc>
          <w:tcPr>
            <w:tcW w:w="3146" w:type="dxa"/>
            <w:gridSpan w:val="2"/>
            <w:tcBorders>
              <w:top w:val="single" w:color="auto" w:sz="4" w:space="0"/>
              <w:left w:val="nil"/>
              <w:bottom w:val="single" w:color="auto" w:sz="4" w:space="0"/>
              <w:right w:val="single" w:color="000000" w:sz="4" w:space="0"/>
            </w:tcBorders>
            <w:noWrap/>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宋体" w:hAnsi="宋体" w:eastAsia="宋体" w:cs="宋体"/>
                <w:color w:val="000000"/>
                <w:kern w:val="0"/>
                <w:sz w:val="20"/>
                <w:szCs w:val="20"/>
              </w:rPr>
              <w:t>0</w:t>
            </w:r>
          </w:p>
        </w:tc>
      </w:tr>
    </w:tbl>
    <w:p>
      <w:pPr>
        <w:widowControl/>
        <w:spacing w:line="432" w:lineRule="auto"/>
        <w:ind w:firstLine="480"/>
        <w:rPr>
          <w:rFonts w:ascii="Times New Roman" w:hAnsi="Times New Roman" w:eastAsia="仿宋" w:cs="Times New Roman"/>
          <w:color w:val="333333"/>
          <w:kern w:val="0"/>
          <w:sz w:val="32"/>
          <w:szCs w:val="32"/>
        </w:rPr>
      </w:pPr>
    </w:p>
    <w:p>
      <w:pPr>
        <w:ind w:firstLine="643" w:firstLineChars="200"/>
        <w:rPr>
          <w:rFonts w:ascii="黑体" w:hAnsi="黑体" w:eastAsia="黑体" w:cs="Times New Roman"/>
          <w:b/>
          <w:bCs/>
          <w:color w:val="333333"/>
          <w:kern w:val="0"/>
          <w:sz w:val="32"/>
          <w:szCs w:val="32"/>
        </w:rPr>
      </w:pPr>
      <w:r>
        <w:rPr>
          <w:rFonts w:ascii="黑体" w:hAnsi="黑体" w:eastAsia="黑体" w:cs="Times New Roman"/>
          <w:b/>
          <w:bCs/>
          <w:color w:val="333333"/>
          <w:kern w:val="0"/>
          <w:sz w:val="32"/>
          <w:szCs w:val="32"/>
        </w:rPr>
        <w:t>三、收到和处理政府信息公开申请情况</w:t>
      </w:r>
    </w:p>
    <w:tbl>
      <w:tblPr>
        <w:tblStyle w:val="5"/>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4"/>
        <w:gridCol w:w="855"/>
        <w:gridCol w:w="2130"/>
        <w:gridCol w:w="825"/>
        <w:gridCol w:w="765"/>
        <w:gridCol w:w="765"/>
        <w:gridCol w:w="825"/>
        <w:gridCol w:w="990"/>
        <w:gridCol w:w="720"/>
        <w:gridCol w:w="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9"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（本列数据的勾稽关系为：第一项加第二项之和，等于第三项加第四项之和）</w:t>
            </w:r>
          </w:p>
        </w:tc>
        <w:tc>
          <w:tcPr>
            <w:tcW w:w="5592" w:type="dxa"/>
            <w:gridSpan w:val="7"/>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申请人情况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25" w:type="dxa"/>
            <w:vMerge w:val="restart"/>
            <w:tcBorders>
              <w:top w:val="nil"/>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自然人</w:t>
            </w:r>
          </w:p>
        </w:tc>
        <w:tc>
          <w:tcPr>
            <w:tcW w:w="4065" w:type="dxa"/>
            <w:gridSpan w:val="5"/>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法人或其他组织</w:t>
            </w:r>
          </w:p>
        </w:tc>
        <w:tc>
          <w:tcPr>
            <w:tcW w:w="702" w:type="dxa"/>
            <w:vMerge w:val="restart"/>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总计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2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商业企业</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科研机构</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社会公益组织</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法律服务机构</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其他</w:t>
            </w:r>
          </w:p>
        </w:tc>
        <w:tc>
          <w:tcPr>
            <w:tcW w:w="702" w:type="dxa"/>
            <w:vMerge w:val="continue"/>
            <w:tcBorders>
              <w:top w:val="single" w:color="auto" w:sz="4" w:space="0"/>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9" w:type="dxa"/>
            <w:gridSpan w:val="3"/>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Calibri" w:hAnsi="Calibri" w:eastAsia="宋体" w:cs="Times New Roman"/>
                <w:color w:val="333333"/>
                <w:sz w:val="20"/>
                <w:szCs w:val="20"/>
              </w:rPr>
              <w:t>一、本年新收政府信息公开申请数量</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宋体" w:hAnsi="宋体" w:eastAsia="宋体" w:cs="宋体"/>
                <w:color w:val="000000"/>
                <w:kern w:val="0"/>
                <w:sz w:val="20"/>
                <w:szCs w:val="20"/>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宋体" w:hAnsi="宋体" w:eastAsia="宋体" w:cs="宋体"/>
                <w:color w:val="000000"/>
                <w:kern w:val="0"/>
                <w:sz w:val="20"/>
                <w:szCs w:val="20"/>
              </w:rPr>
              <w:t>0</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0</w:t>
            </w: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宋体" w:hAnsi="宋体" w:eastAsia="宋体" w:cs="宋体"/>
                <w:color w:val="000000"/>
                <w:kern w:val="0"/>
                <w:sz w:val="20"/>
                <w:szCs w:val="20"/>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宋体" w:hAnsi="宋体" w:eastAsia="宋体" w:cs="宋体"/>
                <w:color w:val="000000"/>
                <w:kern w:val="0"/>
                <w:sz w:val="20"/>
                <w:szCs w:val="20"/>
              </w:rPr>
              <w:t>0</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宋体" w:hAnsi="宋体" w:eastAsia="宋体" w:cs="宋体"/>
                <w:color w:val="000000"/>
                <w:kern w:val="0"/>
                <w:sz w:val="20"/>
                <w:szCs w:val="2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9" w:type="dxa"/>
            <w:gridSpan w:val="3"/>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Calibri" w:hAnsi="Calibri" w:eastAsia="宋体" w:cs="Times New Roman"/>
                <w:color w:val="333333"/>
                <w:sz w:val="20"/>
                <w:szCs w:val="20"/>
              </w:rPr>
              <w:t>二、上年结转政府信息公开申请数量</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宋体" w:hAnsi="宋体" w:eastAsia="宋体" w:cs="宋体"/>
                <w:color w:val="000000"/>
                <w:kern w:val="0"/>
                <w:sz w:val="20"/>
                <w:szCs w:val="20"/>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0</w:t>
            </w: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宋体" w:hAnsi="宋体" w:eastAsia="宋体" w:cs="宋体"/>
                <w:color w:val="000000"/>
                <w:kern w:val="0"/>
                <w:sz w:val="20"/>
                <w:szCs w:val="20"/>
              </w:rPr>
              <w:t>0</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0</w:t>
            </w: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宋体" w:hAnsi="宋体" w:eastAsia="宋体" w:cs="宋体"/>
                <w:color w:val="000000"/>
                <w:kern w:val="0"/>
                <w:sz w:val="20"/>
                <w:szCs w:val="20"/>
              </w:rPr>
              <w:t>0</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0</w:t>
            </w: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restart"/>
            <w:tcBorders>
              <w:top w:val="nil"/>
              <w:left w:val="single" w:color="auto" w:sz="4" w:space="0"/>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三、本年度办理结果</w:t>
            </w:r>
          </w:p>
        </w:tc>
        <w:tc>
          <w:tcPr>
            <w:tcW w:w="2985" w:type="dxa"/>
            <w:gridSpan w:val="2"/>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楷体" w:hAnsi="楷体" w:eastAsia="楷体" w:cs="宋体"/>
                <w:color w:val="333333"/>
                <w:sz w:val="20"/>
                <w:szCs w:val="20"/>
              </w:rPr>
              <w:t>（一）予以公开</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宋体" w:hAnsi="宋体" w:eastAsia="宋体" w:cs="宋体"/>
                <w:color w:val="000000"/>
                <w:kern w:val="0"/>
                <w:sz w:val="20"/>
                <w:szCs w:val="20"/>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宋体" w:hAnsi="宋体" w:eastAsia="宋体" w:cs="宋体"/>
                <w:color w:val="000000"/>
                <w:kern w:val="0"/>
                <w:sz w:val="20"/>
                <w:szCs w:val="20"/>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宋体" w:hAnsi="宋体" w:eastAsia="宋体" w:cs="宋体"/>
                <w:color w:val="000000"/>
                <w:kern w:val="0"/>
                <w:sz w:val="20"/>
                <w:szCs w:val="20"/>
              </w:rPr>
              <w:t>0</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宋体" w:hAnsi="宋体" w:eastAsia="宋体" w:cs="宋体"/>
                <w:color w:val="000000"/>
                <w:kern w:val="0"/>
                <w:sz w:val="20"/>
                <w:szCs w:val="20"/>
              </w:rPr>
              <w:t>0</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宋体" w:hAnsi="宋体" w:eastAsia="宋体" w:cs="宋体"/>
                <w:color w:val="000000"/>
                <w:kern w:val="0"/>
                <w:sz w:val="20"/>
                <w:szCs w:val="20"/>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宋体" w:hAnsi="宋体" w:eastAsia="宋体" w:cs="宋体"/>
                <w:color w:val="000000"/>
                <w:kern w:val="0"/>
                <w:sz w:val="20"/>
                <w:szCs w:val="20"/>
              </w:rPr>
              <w:t>0</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宋体" w:hAnsi="宋体" w:eastAsia="宋体" w:cs="宋体"/>
                <w:color w:val="000000"/>
                <w:kern w:val="0"/>
                <w:sz w:val="20"/>
                <w:szCs w:val="2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985" w:type="dxa"/>
            <w:gridSpan w:val="2"/>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楷体" w:hAnsi="楷体" w:eastAsia="楷体" w:cs="宋体"/>
                <w:color w:val="333333"/>
                <w:sz w:val="20"/>
                <w:szCs w:val="20"/>
              </w:rPr>
              <w:t>（二）部分公开（区分处理的，只计这一情形，不计其他情形）</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宋体" w:hAnsi="宋体" w:eastAsia="宋体" w:cs="宋体"/>
                <w:color w:val="000000"/>
                <w:kern w:val="0"/>
                <w:sz w:val="20"/>
                <w:szCs w:val="20"/>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宋体" w:hAnsi="宋体" w:eastAsia="宋体" w:cs="宋体"/>
                <w:color w:val="000000"/>
                <w:kern w:val="0"/>
                <w:sz w:val="20"/>
                <w:szCs w:val="20"/>
              </w:rPr>
              <w:t>0</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宋体" w:hAnsi="宋体" w:eastAsia="宋体" w:cs="宋体"/>
                <w:color w:val="000000"/>
                <w:kern w:val="0"/>
                <w:sz w:val="20"/>
                <w:szCs w:val="20"/>
              </w:rPr>
              <w:t>0</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宋体" w:hAnsi="宋体" w:eastAsia="宋体" w:cs="宋体"/>
                <w:color w:val="000000"/>
                <w:kern w:val="0"/>
                <w:sz w:val="20"/>
                <w:szCs w:val="20"/>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0</w:t>
            </w: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宋体" w:hAnsi="宋体" w:eastAsia="宋体" w:cs="宋体"/>
                <w:color w:val="000000"/>
                <w:kern w:val="0"/>
                <w:sz w:val="20"/>
                <w:szCs w:val="2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restart"/>
            <w:tcBorders>
              <w:top w:val="nil"/>
              <w:left w:val="nil"/>
              <w:bottom w:val="single" w:color="auto" w:sz="4" w:space="0"/>
              <w:right w:val="single" w:color="auto" w:sz="4" w:space="0"/>
            </w:tcBorders>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楷体" w:hAnsi="楷体" w:eastAsia="楷体" w:cs="宋体"/>
                <w:color w:val="333333"/>
                <w:sz w:val="20"/>
                <w:szCs w:val="20"/>
              </w:rPr>
              <w:t>（三）不予公开</w:t>
            </w: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楷体" w:hAnsi="楷体" w:eastAsia="楷体" w:cs="宋体"/>
                <w:color w:val="333333"/>
                <w:sz w:val="20"/>
                <w:szCs w:val="20"/>
              </w:rPr>
              <w:t>1.属于国家秘密</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楷体" w:hAnsi="楷体" w:eastAsia="楷体" w:cs="宋体"/>
                <w:color w:val="333333"/>
                <w:sz w:val="20"/>
                <w:szCs w:val="20"/>
              </w:rPr>
              <w:t>2.其他法律行政法规禁止公开</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楷体" w:hAnsi="楷体" w:eastAsia="楷体" w:cs="宋体"/>
                <w:color w:val="333333"/>
                <w:sz w:val="20"/>
                <w:szCs w:val="20"/>
              </w:rPr>
              <w:t>3.危及“三安全一稳定”</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楷体" w:hAnsi="楷体" w:eastAsia="楷体" w:cs="宋体"/>
                <w:color w:val="333333"/>
                <w:sz w:val="20"/>
                <w:szCs w:val="20"/>
              </w:rPr>
              <w:t>4.保护第三方合法权益</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楷体" w:hAnsi="楷体" w:eastAsia="楷体" w:cs="宋体"/>
                <w:color w:val="333333"/>
                <w:sz w:val="20"/>
                <w:szCs w:val="20"/>
              </w:rPr>
              <w:t>5.属于三类内部事务信息</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楷体" w:hAnsi="楷体" w:eastAsia="楷体" w:cs="宋体"/>
                <w:color w:val="333333"/>
                <w:sz w:val="20"/>
                <w:szCs w:val="20"/>
              </w:rPr>
              <w:t>6.属于四类过程性信息</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楷体" w:hAnsi="楷体" w:eastAsia="楷体" w:cs="宋体"/>
                <w:color w:val="333333"/>
                <w:sz w:val="20"/>
                <w:szCs w:val="20"/>
              </w:rPr>
              <w:t>7.属于行政执法案卷</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楷体" w:hAnsi="楷体" w:eastAsia="楷体" w:cs="宋体"/>
                <w:color w:val="333333"/>
                <w:sz w:val="20"/>
                <w:szCs w:val="20"/>
              </w:rPr>
              <w:t>8.属于行政查询事项</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restart"/>
            <w:tcBorders>
              <w:top w:val="nil"/>
              <w:left w:val="nil"/>
              <w:bottom w:val="single" w:color="auto" w:sz="4" w:space="0"/>
              <w:right w:val="single" w:color="auto" w:sz="4" w:space="0"/>
            </w:tcBorders>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楷体" w:hAnsi="楷体" w:eastAsia="楷体" w:cs="宋体"/>
                <w:color w:val="333333"/>
                <w:sz w:val="20"/>
                <w:szCs w:val="20"/>
              </w:rPr>
              <w:t>（四）无法提供</w:t>
            </w: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楷体" w:hAnsi="楷体" w:eastAsia="楷体" w:cs="宋体"/>
                <w:color w:val="333333"/>
                <w:sz w:val="20"/>
                <w:szCs w:val="20"/>
              </w:rPr>
              <w:t>1.本机关不掌握相关政府信息</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楷体" w:hAnsi="楷体" w:eastAsia="楷体" w:cs="宋体"/>
                <w:color w:val="333333"/>
                <w:sz w:val="20"/>
                <w:szCs w:val="20"/>
              </w:rPr>
              <w:t>2.没有现成信息需要另行制作</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楷体" w:hAnsi="楷体" w:eastAsia="楷体" w:cs="宋体"/>
                <w:color w:val="333333"/>
                <w:sz w:val="20"/>
                <w:szCs w:val="20"/>
              </w:rPr>
              <w:t>3.补正后申请内容仍不明确</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restart"/>
            <w:tcBorders>
              <w:top w:val="nil"/>
              <w:left w:val="nil"/>
              <w:bottom w:val="single" w:color="auto" w:sz="4" w:space="0"/>
              <w:right w:val="single" w:color="auto" w:sz="4" w:space="0"/>
            </w:tcBorders>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楷体" w:hAnsi="楷体" w:eastAsia="楷体" w:cs="宋体"/>
                <w:color w:val="333333"/>
                <w:sz w:val="20"/>
                <w:szCs w:val="20"/>
              </w:rPr>
              <w:t>（五）不予处理</w:t>
            </w: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楷体" w:hAnsi="楷体" w:eastAsia="楷体" w:cs="宋体"/>
                <w:color w:val="333333"/>
                <w:sz w:val="20"/>
                <w:szCs w:val="20"/>
              </w:rPr>
              <w:t>1.信访举报投诉类申请</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宋体" w:hAnsi="宋体" w:eastAsia="宋体" w:cs="宋体"/>
                <w:color w:val="000000"/>
                <w:kern w:val="0"/>
                <w:sz w:val="20"/>
                <w:szCs w:val="20"/>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宋体" w:hAnsi="宋体" w:eastAsia="宋体" w:cs="宋体"/>
                <w:color w:val="000000"/>
                <w:kern w:val="0"/>
                <w:sz w:val="20"/>
                <w:szCs w:val="20"/>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宋体" w:hAnsi="宋体" w:eastAsia="宋体" w:cs="宋体"/>
                <w:color w:val="000000"/>
                <w:kern w:val="0"/>
                <w:sz w:val="20"/>
                <w:szCs w:val="20"/>
              </w:rPr>
              <w:t>0</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0</w:t>
            </w: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宋体" w:hAnsi="宋体" w:eastAsia="宋体" w:cs="宋体"/>
                <w:color w:val="000000"/>
                <w:kern w:val="0"/>
                <w:sz w:val="20"/>
                <w:szCs w:val="20"/>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宋体" w:hAnsi="宋体" w:eastAsia="宋体" w:cs="宋体"/>
                <w:color w:val="000000"/>
                <w:kern w:val="0"/>
                <w:sz w:val="20"/>
                <w:szCs w:val="20"/>
              </w:rPr>
              <w:t>0</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宋体" w:hAnsi="宋体" w:eastAsia="宋体" w:cs="宋体"/>
                <w:color w:val="000000"/>
                <w:kern w:val="0"/>
                <w:sz w:val="20"/>
                <w:szCs w:val="2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楷体" w:hAnsi="楷体" w:eastAsia="楷体" w:cs="宋体"/>
                <w:color w:val="333333"/>
                <w:sz w:val="20"/>
                <w:szCs w:val="20"/>
              </w:rPr>
              <w:t>2.重复申请</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宋体" w:hAnsi="宋体" w:eastAsia="宋体" w:cs="宋体"/>
                <w:color w:val="000000"/>
                <w:kern w:val="0"/>
                <w:sz w:val="20"/>
                <w:szCs w:val="20"/>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宋体" w:hAnsi="宋体" w:eastAsia="宋体" w:cs="宋体"/>
                <w:color w:val="000000"/>
                <w:kern w:val="0"/>
                <w:sz w:val="20"/>
                <w:szCs w:val="20"/>
              </w:rPr>
              <w:t>0</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0</w:t>
            </w: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宋体" w:hAnsi="宋体" w:eastAsia="宋体" w:cs="宋体"/>
                <w:color w:val="000000"/>
                <w:kern w:val="0"/>
                <w:sz w:val="20"/>
                <w:szCs w:val="20"/>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0</w:t>
            </w: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宋体" w:hAnsi="宋体" w:eastAsia="宋体" w:cs="宋体"/>
                <w:color w:val="000000"/>
                <w:kern w:val="0"/>
                <w:sz w:val="20"/>
                <w:szCs w:val="2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楷体" w:hAnsi="楷体" w:eastAsia="楷体" w:cs="宋体"/>
                <w:color w:val="333333"/>
                <w:sz w:val="20"/>
                <w:szCs w:val="20"/>
              </w:rPr>
              <w:t>3.要求提供公开出版物</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宋体" w:hAnsi="宋体" w:eastAsia="宋体" w:cs="宋体"/>
                <w:color w:val="000000"/>
                <w:kern w:val="0"/>
                <w:sz w:val="20"/>
                <w:szCs w:val="20"/>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宋体" w:hAnsi="宋体" w:eastAsia="宋体" w:cs="宋体"/>
                <w:color w:val="000000"/>
                <w:kern w:val="0"/>
                <w:sz w:val="20"/>
                <w:szCs w:val="20"/>
              </w:rPr>
              <w:t>0</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宋体" w:hAnsi="宋体" w:eastAsia="宋体" w:cs="宋体"/>
                <w:color w:val="000000"/>
                <w:kern w:val="0"/>
                <w:sz w:val="20"/>
                <w:szCs w:val="20"/>
              </w:rPr>
              <w:t>0</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宋体" w:hAnsi="宋体" w:eastAsia="宋体" w:cs="宋体"/>
                <w:color w:val="000000"/>
                <w:kern w:val="0"/>
                <w:sz w:val="20"/>
                <w:szCs w:val="20"/>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宋体" w:hAnsi="宋体" w:eastAsia="宋体" w:cs="宋体"/>
                <w:color w:val="000000"/>
                <w:kern w:val="0"/>
                <w:sz w:val="20"/>
                <w:szCs w:val="20"/>
              </w:rPr>
              <w:t>0</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0</w:t>
            </w: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楷体" w:hAnsi="楷体" w:eastAsia="楷体" w:cs="宋体"/>
                <w:color w:val="333333"/>
                <w:sz w:val="20"/>
                <w:szCs w:val="20"/>
              </w:rPr>
              <w:t>4.无正当理由大量反复申请</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宋体" w:hAnsi="宋体" w:eastAsia="宋体" w:cs="宋体"/>
                <w:color w:val="000000"/>
                <w:kern w:val="0"/>
                <w:sz w:val="20"/>
                <w:szCs w:val="20"/>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宋体" w:hAnsi="宋体" w:eastAsia="宋体" w:cs="宋体"/>
                <w:color w:val="000000"/>
                <w:kern w:val="0"/>
                <w:sz w:val="20"/>
                <w:szCs w:val="20"/>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0</w:t>
            </w: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0</w:t>
            </w: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宋体" w:hAnsi="宋体" w:eastAsia="宋体" w:cs="宋体"/>
                <w:color w:val="000000"/>
                <w:kern w:val="0"/>
                <w:sz w:val="20"/>
                <w:szCs w:val="20"/>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宋体" w:hAnsi="宋体" w:eastAsia="宋体" w:cs="宋体"/>
                <w:color w:val="000000"/>
                <w:kern w:val="0"/>
                <w:sz w:val="20"/>
                <w:szCs w:val="20"/>
              </w:rPr>
              <w:t>0</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0</w:t>
            </w: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楷体" w:hAnsi="楷体" w:eastAsia="楷体" w:cs="宋体"/>
                <w:color w:val="333333"/>
                <w:sz w:val="20"/>
                <w:szCs w:val="20"/>
              </w:rPr>
              <w:t>5.要求行政机关确认或重新出具已获取信息</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0</w:t>
            </w: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宋体" w:hAnsi="宋体" w:eastAsia="宋体" w:cs="宋体"/>
                <w:color w:val="000000"/>
                <w:kern w:val="0"/>
                <w:sz w:val="20"/>
                <w:szCs w:val="20"/>
              </w:rPr>
              <w:t>0</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宋体" w:hAnsi="宋体" w:eastAsia="宋体" w:cs="宋体"/>
                <w:color w:val="000000"/>
                <w:kern w:val="0"/>
                <w:sz w:val="20"/>
                <w:szCs w:val="20"/>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宋体" w:hAnsi="宋体" w:eastAsia="宋体" w:cs="宋体"/>
                <w:color w:val="000000"/>
                <w:kern w:val="0"/>
                <w:sz w:val="20"/>
                <w:szCs w:val="20"/>
              </w:rPr>
              <w:t>0</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0</w:t>
            </w: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985" w:type="dxa"/>
            <w:gridSpan w:val="2"/>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楷体" w:hAnsi="楷体" w:eastAsia="楷体" w:cs="宋体"/>
                <w:color w:val="333333"/>
                <w:sz w:val="20"/>
                <w:szCs w:val="20"/>
              </w:rPr>
              <w:t>（六）其他处理</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宋体" w:hAnsi="宋体" w:eastAsia="宋体" w:cs="宋体"/>
                <w:color w:val="000000"/>
                <w:kern w:val="0"/>
                <w:sz w:val="20"/>
                <w:szCs w:val="20"/>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0</w:t>
            </w: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宋体" w:hAnsi="宋体" w:eastAsia="宋体" w:cs="宋体"/>
                <w:color w:val="000000"/>
                <w:kern w:val="0"/>
                <w:sz w:val="20"/>
                <w:szCs w:val="20"/>
              </w:rPr>
              <w:t>0</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宋体" w:hAnsi="宋体" w:eastAsia="宋体" w:cs="宋体"/>
                <w:color w:val="000000"/>
                <w:kern w:val="0"/>
                <w:sz w:val="20"/>
                <w:szCs w:val="20"/>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宋体" w:hAnsi="宋体" w:eastAsia="宋体" w:cs="宋体"/>
                <w:color w:val="000000"/>
                <w:kern w:val="0"/>
                <w:sz w:val="20"/>
                <w:szCs w:val="20"/>
              </w:rPr>
              <w:t>0</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宋体" w:hAnsi="宋体" w:eastAsia="宋体" w:cs="宋体"/>
                <w:color w:val="000000"/>
                <w:kern w:val="0"/>
                <w:sz w:val="20"/>
                <w:szCs w:val="2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985" w:type="dxa"/>
            <w:gridSpan w:val="2"/>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楷体" w:hAnsi="楷体" w:eastAsia="楷体" w:cs="宋体"/>
                <w:color w:val="333333"/>
                <w:sz w:val="20"/>
                <w:szCs w:val="20"/>
              </w:rPr>
              <w:t>（七）总计</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宋体" w:hAnsi="宋体" w:eastAsia="宋体" w:cs="宋体"/>
                <w:color w:val="000000"/>
                <w:kern w:val="0"/>
                <w:sz w:val="20"/>
                <w:szCs w:val="20"/>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宋体" w:hAnsi="宋体" w:eastAsia="宋体" w:cs="宋体"/>
                <w:color w:val="000000"/>
                <w:kern w:val="0"/>
                <w:sz w:val="20"/>
                <w:szCs w:val="20"/>
              </w:rPr>
              <w:t>0</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0</w:t>
            </w: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宋体" w:hAnsi="宋体" w:eastAsia="宋体" w:cs="宋体"/>
                <w:color w:val="000000"/>
                <w:kern w:val="0"/>
                <w:sz w:val="20"/>
                <w:szCs w:val="20"/>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宋体" w:hAnsi="宋体" w:eastAsia="宋体" w:cs="宋体"/>
                <w:color w:val="000000"/>
                <w:kern w:val="0"/>
                <w:sz w:val="20"/>
                <w:szCs w:val="20"/>
              </w:rPr>
              <w:t>0</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宋体" w:hAnsi="宋体" w:eastAsia="宋体" w:cs="宋体"/>
                <w:color w:val="000000"/>
                <w:kern w:val="0"/>
                <w:sz w:val="20"/>
                <w:szCs w:val="2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9" w:type="dxa"/>
            <w:gridSpan w:val="3"/>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Calibri" w:hAnsi="Calibri" w:eastAsia="宋体" w:cs="Times New Roman"/>
                <w:color w:val="333333"/>
                <w:sz w:val="20"/>
                <w:szCs w:val="20"/>
              </w:rPr>
              <w:t>四、结转下年度继续办理</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宋体" w:hAnsi="宋体" w:eastAsia="宋体" w:cs="宋体"/>
                <w:color w:val="000000"/>
                <w:kern w:val="0"/>
                <w:sz w:val="20"/>
                <w:szCs w:val="20"/>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宋体" w:hAnsi="宋体" w:eastAsia="宋体" w:cs="宋体"/>
                <w:color w:val="000000"/>
                <w:kern w:val="0"/>
                <w:sz w:val="20"/>
                <w:szCs w:val="20"/>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0</w:t>
            </w: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宋体" w:hAnsi="宋体" w:eastAsia="宋体" w:cs="宋体"/>
                <w:color w:val="000000"/>
                <w:kern w:val="0"/>
                <w:sz w:val="20"/>
                <w:szCs w:val="20"/>
              </w:rPr>
              <w:t>0</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0</w:t>
            </w: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宋体" w:hAnsi="宋体" w:eastAsia="宋体" w:cs="宋体"/>
                <w:color w:val="000000"/>
                <w:kern w:val="0"/>
                <w:sz w:val="20"/>
                <w:szCs w:val="20"/>
              </w:rPr>
              <w:t>0</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0</w:t>
            </w:r>
          </w:p>
        </w:tc>
      </w:tr>
    </w:tbl>
    <w:p>
      <w:pPr>
        <w:widowControl/>
        <w:spacing w:line="432" w:lineRule="auto"/>
        <w:ind w:firstLine="480"/>
        <w:rPr>
          <w:rFonts w:ascii="仿宋" w:hAnsi="仿宋" w:eastAsia="仿宋" w:cs="宋体"/>
          <w:color w:val="333333"/>
          <w:kern w:val="0"/>
          <w:sz w:val="32"/>
          <w:szCs w:val="32"/>
        </w:rPr>
      </w:pPr>
    </w:p>
    <w:p>
      <w:pPr>
        <w:widowControl/>
        <w:spacing w:line="432" w:lineRule="auto"/>
        <w:ind w:firstLine="480"/>
        <w:rPr>
          <w:rFonts w:ascii="仿宋" w:hAnsi="仿宋" w:eastAsia="仿宋" w:cs="宋体"/>
          <w:color w:val="333333"/>
          <w:kern w:val="0"/>
          <w:sz w:val="32"/>
          <w:szCs w:val="32"/>
        </w:rPr>
      </w:pPr>
    </w:p>
    <w:p>
      <w:pPr>
        <w:widowControl/>
        <w:spacing w:line="432" w:lineRule="auto"/>
        <w:ind w:firstLine="480"/>
        <w:rPr>
          <w:rFonts w:ascii="黑体" w:hAnsi="黑体" w:eastAsia="黑体" w:cs="宋体"/>
          <w:color w:val="333333"/>
          <w:kern w:val="0"/>
          <w:sz w:val="32"/>
          <w:szCs w:val="32"/>
        </w:rPr>
      </w:pPr>
    </w:p>
    <w:p>
      <w:pPr>
        <w:widowControl/>
        <w:spacing w:line="432" w:lineRule="auto"/>
        <w:ind w:firstLine="480"/>
        <w:rPr>
          <w:rFonts w:ascii="黑体" w:hAnsi="黑体" w:eastAsia="黑体" w:cs="宋体"/>
          <w:color w:val="333333"/>
          <w:kern w:val="0"/>
          <w:sz w:val="32"/>
          <w:szCs w:val="32"/>
        </w:rPr>
      </w:pPr>
    </w:p>
    <w:p>
      <w:pPr>
        <w:widowControl/>
        <w:spacing w:line="432" w:lineRule="auto"/>
        <w:ind w:firstLine="480"/>
        <w:rPr>
          <w:rFonts w:ascii="黑体" w:hAnsi="黑体" w:eastAsia="黑体" w:cs="宋体"/>
          <w:color w:val="333333"/>
          <w:kern w:val="0"/>
          <w:sz w:val="32"/>
          <w:szCs w:val="32"/>
        </w:rPr>
      </w:pPr>
    </w:p>
    <w:p>
      <w:pPr>
        <w:widowControl/>
        <w:spacing w:line="432" w:lineRule="auto"/>
        <w:ind w:firstLine="480"/>
        <w:rPr>
          <w:rFonts w:ascii="黑体" w:hAnsi="黑体" w:eastAsia="黑体" w:cs="宋体"/>
          <w:color w:val="333333"/>
          <w:kern w:val="0"/>
          <w:sz w:val="32"/>
          <w:szCs w:val="32"/>
        </w:rPr>
      </w:pPr>
      <w:r>
        <w:rPr>
          <w:rFonts w:hint="eastAsia" w:ascii="黑体" w:hAnsi="黑体" w:eastAsia="黑体" w:cs="宋体"/>
          <w:color w:val="333333"/>
          <w:kern w:val="0"/>
          <w:sz w:val="32"/>
          <w:szCs w:val="32"/>
        </w:rPr>
        <w:t>四、政府信息公开行政复议、行政诉讼情况</w:t>
      </w:r>
    </w:p>
    <w:tbl>
      <w:tblPr>
        <w:tblStyle w:val="5"/>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4"/>
        <w:gridCol w:w="604"/>
        <w:gridCol w:w="604"/>
        <w:gridCol w:w="604"/>
        <w:gridCol w:w="658"/>
        <w:gridCol w:w="550"/>
        <w:gridCol w:w="605"/>
        <w:gridCol w:w="605"/>
        <w:gridCol w:w="605"/>
        <w:gridCol w:w="605"/>
        <w:gridCol w:w="605"/>
        <w:gridCol w:w="605"/>
        <w:gridCol w:w="605"/>
        <w:gridCol w:w="606"/>
        <w:gridCol w:w="6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74" w:type="dxa"/>
            <w:gridSpan w:val="5"/>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行政复议</w:t>
            </w:r>
          </w:p>
        </w:tc>
        <w:tc>
          <w:tcPr>
            <w:tcW w:w="5997" w:type="dxa"/>
            <w:gridSpan w:val="10"/>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行政诉讼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04" w:type="dxa"/>
            <w:vMerge w:val="restart"/>
            <w:tcBorders>
              <w:top w:val="nil"/>
              <w:left w:val="single" w:color="auto" w:sz="4" w:space="0"/>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结果维持</w:t>
            </w:r>
          </w:p>
        </w:tc>
        <w:tc>
          <w:tcPr>
            <w:tcW w:w="604" w:type="dxa"/>
            <w:vMerge w:val="restart"/>
            <w:tcBorders>
              <w:top w:val="nil"/>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结果纠正</w:t>
            </w:r>
          </w:p>
        </w:tc>
        <w:tc>
          <w:tcPr>
            <w:tcW w:w="604" w:type="dxa"/>
            <w:vMerge w:val="restart"/>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其他结果</w:t>
            </w:r>
          </w:p>
        </w:tc>
        <w:tc>
          <w:tcPr>
            <w:tcW w:w="604" w:type="dxa"/>
            <w:vMerge w:val="restart"/>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尚未审结</w:t>
            </w:r>
          </w:p>
        </w:tc>
        <w:tc>
          <w:tcPr>
            <w:tcW w:w="658" w:type="dxa"/>
            <w:vMerge w:val="restart"/>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总计</w:t>
            </w:r>
          </w:p>
        </w:tc>
        <w:tc>
          <w:tcPr>
            <w:tcW w:w="2970" w:type="dxa"/>
            <w:gridSpan w:val="5"/>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未经复议直接起诉</w:t>
            </w:r>
          </w:p>
        </w:tc>
        <w:tc>
          <w:tcPr>
            <w:tcW w:w="3027" w:type="dxa"/>
            <w:gridSpan w:val="5"/>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复议后起诉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0" w:type="auto"/>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0" w:type="auto"/>
            <w:vMerge w:val="continue"/>
            <w:tcBorders>
              <w:top w:val="single" w:color="auto" w:sz="4" w:space="0"/>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0" w:type="auto"/>
            <w:vMerge w:val="continue"/>
            <w:tcBorders>
              <w:top w:val="single" w:color="auto" w:sz="4" w:space="0"/>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0" w:type="auto"/>
            <w:vMerge w:val="continue"/>
            <w:tcBorders>
              <w:top w:val="single" w:color="auto" w:sz="4" w:space="0"/>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55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结果维持</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结果纠正</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其他结果</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尚未审结</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总计</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结果维持</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结果纠正</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其他结果</w:t>
            </w:r>
          </w:p>
        </w:tc>
        <w:tc>
          <w:tcPr>
            <w:tcW w:w="606"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尚未审结</w:t>
            </w:r>
          </w:p>
        </w:tc>
        <w:tc>
          <w:tcPr>
            <w:tcW w:w="606"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总计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0</w:t>
            </w:r>
            <w:r>
              <w:rPr>
                <w:rFonts w:ascii="Calibri" w:hAnsi="Calibri" w:eastAsia="宋体" w:cs="Times New Roman"/>
                <w:color w:val="333333"/>
                <w:sz w:val="20"/>
                <w:szCs w:val="20"/>
              </w:rPr>
              <w:t> </w:t>
            </w:r>
          </w:p>
        </w:tc>
        <w:tc>
          <w:tcPr>
            <w:tcW w:w="604"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宋体" w:hAnsi="宋体" w:eastAsia="宋体" w:cs="宋体"/>
                <w:color w:val="000000"/>
                <w:kern w:val="0"/>
                <w:sz w:val="20"/>
                <w:szCs w:val="20"/>
              </w:rPr>
              <w:t>0</w:t>
            </w:r>
          </w:p>
        </w:tc>
        <w:tc>
          <w:tcPr>
            <w:tcW w:w="604"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0</w:t>
            </w:r>
            <w:r>
              <w:rPr>
                <w:rFonts w:ascii="Calibri" w:hAnsi="Calibri" w:eastAsia="宋体" w:cs="Times New Roman"/>
                <w:color w:val="333333"/>
                <w:sz w:val="20"/>
                <w:szCs w:val="20"/>
              </w:rPr>
              <w:t> </w:t>
            </w:r>
          </w:p>
        </w:tc>
        <w:tc>
          <w:tcPr>
            <w:tcW w:w="604"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宋体" w:hAnsi="宋体" w:eastAsia="宋体" w:cs="宋体"/>
                <w:color w:val="000000"/>
                <w:kern w:val="0"/>
                <w:sz w:val="20"/>
                <w:szCs w:val="20"/>
              </w:rPr>
              <w:t>0</w:t>
            </w:r>
          </w:p>
        </w:tc>
        <w:tc>
          <w:tcPr>
            <w:tcW w:w="658"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0</w:t>
            </w:r>
            <w:r>
              <w:rPr>
                <w:rFonts w:ascii="Calibri" w:hAnsi="Calibri" w:eastAsia="宋体" w:cs="Times New Roman"/>
                <w:color w:val="333333"/>
                <w:sz w:val="20"/>
                <w:szCs w:val="20"/>
              </w:rPr>
              <w:t> </w:t>
            </w:r>
          </w:p>
        </w:tc>
        <w:tc>
          <w:tcPr>
            <w:tcW w:w="55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0</w:t>
            </w:r>
            <w:r>
              <w:rPr>
                <w:rFonts w:hint="eastAsia" w:ascii="Calibri" w:hAnsi="Calibri" w:eastAsia="宋体" w:cs="Times New Roman"/>
                <w:color w:val="333333"/>
                <w:sz w:val="20"/>
                <w:szCs w:val="20"/>
              </w:rPr>
              <w:t> </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 </w:t>
            </w:r>
            <w:r>
              <w:rPr>
                <w:rFonts w:hint="eastAsia" w:ascii="宋体" w:hAnsi="宋体" w:eastAsia="宋体" w:cs="宋体"/>
                <w:color w:val="000000"/>
                <w:kern w:val="0"/>
                <w:sz w:val="20"/>
                <w:szCs w:val="20"/>
              </w:rPr>
              <w:t>0</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 </w:t>
            </w:r>
            <w:r>
              <w:rPr>
                <w:rFonts w:hint="eastAsia" w:ascii="宋体" w:hAnsi="宋体" w:eastAsia="宋体" w:cs="宋体"/>
                <w:color w:val="000000"/>
                <w:kern w:val="0"/>
                <w:sz w:val="20"/>
                <w:szCs w:val="20"/>
              </w:rPr>
              <w:t>0</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 </w:t>
            </w:r>
            <w:r>
              <w:rPr>
                <w:rFonts w:hint="eastAsia" w:ascii="宋体" w:hAnsi="宋体" w:eastAsia="宋体" w:cs="宋体"/>
                <w:color w:val="000000"/>
                <w:kern w:val="0"/>
                <w:sz w:val="20"/>
                <w:szCs w:val="20"/>
              </w:rPr>
              <w:t>0</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 0</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 </w:t>
            </w:r>
            <w:r>
              <w:rPr>
                <w:rFonts w:hint="eastAsia" w:ascii="宋体" w:hAnsi="宋体" w:eastAsia="宋体" w:cs="宋体"/>
                <w:color w:val="000000"/>
                <w:kern w:val="0"/>
                <w:sz w:val="20"/>
                <w:szCs w:val="20"/>
              </w:rPr>
              <w:t>0</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 </w:t>
            </w:r>
            <w:r>
              <w:rPr>
                <w:rFonts w:hint="eastAsia" w:ascii="宋体" w:hAnsi="宋体" w:eastAsia="宋体" w:cs="宋体"/>
                <w:color w:val="000000"/>
                <w:kern w:val="0"/>
                <w:sz w:val="20"/>
                <w:szCs w:val="20"/>
              </w:rPr>
              <w:t>0</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 0</w:t>
            </w:r>
          </w:p>
        </w:tc>
        <w:tc>
          <w:tcPr>
            <w:tcW w:w="606"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0</w:t>
            </w:r>
            <w:r>
              <w:rPr>
                <w:rFonts w:hint="eastAsia" w:ascii="Calibri" w:hAnsi="Calibri" w:eastAsia="宋体" w:cs="Times New Roman"/>
                <w:color w:val="333333"/>
                <w:sz w:val="20"/>
                <w:szCs w:val="20"/>
              </w:rPr>
              <w:t> </w:t>
            </w:r>
          </w:p>
        </w:tc>
        <w:tc>
          <w:tcPr>
            <w:tcW w:w="606"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0</w:t>
            </w:r>
          </w:p>
        </w:tc>
      </w:tr>
    </w:tbl>
    <w:p>
      <w:pPr>
        <w:widowControl/>
        <w:spacing w:line="432" w:lineRule="auto"/>
        <w:jc w:val="center"/>
        <w:rPr>
          <w:rFonts w:ascii="Times New Roman" w:hAnsi="Times New Roman" w:eastAsia="宋体" w:cs="Times New Roman"/>
          <w:color w:val="333333"/>
          <w:kern w:val="0"/>
          <w:sz w:val="32"/>
          <w:szCs w:val="32"/>
        </w:rPr>
      </w:pPr>
    </w:p>
    <w:p>
      <w:pPr>
        <w:widowControl/>
        <w:spacing w:line="432" w:lineRule="auto"/>
        <w:ind w:firstLine="480"/>
        <w:rPr>
          <w:rFonts w:ascii="黑体" w:hAnsi="黑体" w:eastAsia="黑体" w:cs="Times New Roman"/>
          <w:color w:val="333333"/>
          <w:kern w:val="0"/>
          <w:sz w:val="32"/>
          <w:szCs w:val="32"/>
        </w:rPr>
      </w:pPr>
      <w:r>
        <w:rPr>
          <w:rFonts w:ascii="黑体" w:hAnsi="黑体" w:eastAsia="黑体" w:cs="Times New Roman"/>
          <w:color w:val="333333"/>
          <w:kern w:val="0"/>
          <w:sz w:val="32"/>
          <w:szCs w:val="32"/>
        </w:rPr>
        <w:t>五、存在的主要问题及改进情况</w:t>
      </w:r>
    </w:p>
    <w:p>
      <w:pPr>
        <w:ind w:firstLine="640" w:firstLineChars="200"/>
        <w:rPr>
          <w:rFonts w:hint="eastAsia" w:ascii="仿宋" w:hAnsi="仿宋" w:eastAsia="仿宋"/>
          <w:sz w:val="32"/>
          <w:szCs w:val="32"/>
        </w:rPr>
      </w:pPr>
      <w:r>
        <w:rPr>
          <w:rFonts w:hint="eastAsia" w:ascii="仿宋" w:hAnsi="仿宋" w:eastAsia="仿宋"/>
          <w:sz w:val="32"/>
          <w:szCs w:val="32"/>
        </w:rPr>
        <w:t>从总体来看，我街道今年政府信息公开工作整体运行状况较好，但是也存在一些不足,主要表现在：一是信息公开内容深度和广度不够，公开信息的总量有限，信息公开宣传力度不大，群众对信息公开内容关注度不足；二是制度建设还有待健全；三是信息更新不够及时。</w:t>
      </w:r>
      <w:r>
        <w:rPr>
          <w:rFonts w:hint="eastAsia" w:ascii="仿宋" w:hAnsi="仿宋" w:eastAsia="仿宋"/>
          <w:sz w:val="32"/>
          <w:szCs w:val="32"/>
        </w:rPr>
        <w:br w:type="textWrapping"/>
      </w:r>
      <w:r>
        <w:rPr>
          <w:rFonts w:hint="eastAsia" w:ascii="仿宋" w:hAnsi="仿宋" w:eastAsia="仿宋"/>
          <w:sz w:val="32"/>
          <w:szCs w:val="32"/>
          <w:lang w:val="en-US" w:eastAsia="zh-CN"/>
        </w:rPr>
        <w:t xml:space="preserve">    </w:t>
      </w:r>
      <w:r>
        <w:rPr>
          <w:rFonts w:hint="eastAsia" w:ascii="仿宋" w:hAnsi="仿宋" w:eastAsia="仿宋"/>
          <w:b/>
          <w:sz w:val="32"/>
          <w:szCs w:val="32"/>
        </w:rPr>
        <w:t>下步改进措施</w:t>
      </w:r>
      <w:r>
        <w:rPr>
          <w:rFonts w:hint="eastAsia" w:ascii="仿宋" w:hAnsi="仿宋" w:eastAsia="仿宋"/>
          <w:b/>
          <w:sz w:val="32"/>
          <w:szCs w:val="32"/>
          <w:lang w:eastAsia="zh-CN"/>
        </w:rPr>
        <w:t>：</w:t>
      </w:r>
      <w:r>
        <w:rPr>
          <w:rFonts w:hint="eastAsia" w:ascii="仿宋" w:hAnsi="仿宋" w:eastAsia="仿宋"/>
          <w:sz w:val="32"/>
          <w:szCs w:val="32"/>
        </w:rPr>
        <w:t>在今后工作中，我街道将采取以下改进措施，突出政府信息公开重点,不断提高公开水平。一是加强学习，进一步提高政府信息公开发布率。进一步加大政府信息公开信息员的培训力度。提高其对政府信息公开工作重要性的认识，加强政府信息公开的社会效果。认真对照政府信息公开要求，有重点地对信息公开的范围、内容及规范、流程等进行强调</w:t>
      </w:r>
      <w:r>
        <w:rPr>
          <w:rFonts w:hint="eastAsia" w:ascii="仿宋" w:hAnsi="仿宋" w:eastAsia="仿宋"/>
          <w:sz w:val="32"/>
          <w:szCs w:val="32"/>
          <w:lang w:eastAsia="zh-CN"/>
        </w:rPr>
        <w:t>，</w:t>
      </w:r>
      <w:bookmarkStart w:id="0" w:name="_GoBack"/>
      <w:bookmarkEnd w:id="0"/>
      <w:r>
        <w:rPr>
          <w:rFonts w:hint="eastAsia" w:ascii="仿宋" w:hAnsi="仿宋" w:eastAsia="仿宋"/>
          <w:sz w:val="32"/>
          <w:szCs w:val="32"/>
        </w:rPr>
        <w:t>不断提高政府信息公开效率。二是加大宣传，进一步提高政府信息公开知晓率。在规定的政府信息公开范围内，及时发布和更新应主动公开的政府信息，并做好答复工作。充分利用好微信公众号这一平台，实现政务公开信息化，切实提高办事透明度和机关行政效能，为公众提供更及时更准确的信息服务。三是严格把关，进一步提高政府信息公开准确率。完善落实对政府信息公开情况的严格审核制度，自觉遵守职业道德，严格执行保密制度，从源头上杜绝一切虚假信息，防止影响稳定、破坏团结的信息出现。确保信息公开的质量及公信度。</w:t>
      </w:r>
    </w:p>
    <w:p>
      <w:pPr>
        <w:widowControl/>
        <w:spacing w:line="432" w:lineRule="auto"/>
        <w:ind w:firstLine="480"/>
        <w:rPr>
          <w:rFonts w:ascii="黑体" w:hAnsi="黑体" w:eastAsia="黑体" w:cs="Times New Roman"/>
          <w:color w:val="333333"/>
          <w:kern w:val="0"/>
          <w:sz w:val="32"/>
          <w:szCs w:val="32"/>
        </w:rPr>
      </w:pPr>
      <w:r>
        <w:rPr>
          <w:rFonts w:ascii="黑体" w:hAnsi="黑体" w:eastAsia="黑体" w:cs="Times New Roman"/>
          <w:color w:val="333333"/>
          <w:kern w:val="0"/>
          <w:sz w:val="32"/>
          <w:szCs w:val="32"/>
        </w:rPr>
        <w:t>六、其他需要报告的事项</w:t>
      </w:r>
    </w:p>
    <w:p>
      <w:pPr>
        <w:widowControl/>
        <w:spacing w:line="432" w:lineRule="auto"/>
        <w:ind w:firstLine="480"/>
        <w:rPr>
          <w:rFonts w:ascii="黑体" w:hAnsi="黑体" w:eastAsia="黑体" w:cs="Times New Roman"/>
          <w:color w:val="333333"/>
          <w:kern w:val="0"/>
          <w:sz w:val="32"/>
          <w:szCs w:val="32"/>
        </w:rPr>
      </w:pPr>
      <w:r>
        <w:rPr>
          <w:rFonts w:hint="eastAsia" w:ascii="仿宋" w:hAnsi="仿宋" w:eastAsia="仿宋" w:cs="Times New Roman"/>
          <w:color w:val="333333"/>
          <w:kern w:val="0"/>
          <w:sz w:val="32"/>
          <w:szCs w:val="32"/>
        </w:rPr>
        <w:t>无</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72561279"/>
    </w:sdtPr>
    <w:sdtEndPr>
      <w:rPr>
        <w:rFonts w:ascii="Times New Roman" w:hAnsi="Times New Roman" w:cs="Times New Roman"/>
        <w:sz w:val="24"/>
        <w:szCs w:val="24"/>
      </w:rPr>
    </w:sdtEndPr>
    <w:sdtContent>
      <w:p>
        <w:pPr>
          <w:pStyle w:val="3"/>
          <w:jc w:val="center"/>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1</w:t>
        </w:r>
        <w:r>
          <w:rPr>
            <w:rFonts w:ascii="Times New Roman" w:hAnsi="Times New Roman" w:cs="Times New Roman"/>
            <w:sz w:val="24"/>
            <w:szCs w:val="24"/>
          </w:rPr>
          <w:fldChar w:fldCharType="end"/>
        </w:r>
        <w:r>
          <w:rPr>
            <w:rFonts w:ascii="Times New Roman" w:hAnsi="Times New Roman" w:cs="Times New Roman"/>
            <w:sz w:val="24"/>
            <w:szCs w:val="24"/>
          </w:rPr>
          <w:t>-</w:t>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A02E9"/>
    <w:rsid w:val="000275C5"/>
    <w:rsid w:val="003517A0"/>
    <w:rsid w:val="005937AC"/>
    <w:rsid w:val="005C7A21"/>
    <w:rsid w:val="006E3CF8"/>
    <w:rsid w:val="007A02E9"/>
    <w:rsid w:val="00814699"/>
    <w:rsid w:val="00974F0C"/>
    <w:rsid w:val="00A434A9"/>
    <w:rsid w:val="00A51A0B"/>
    <w:rsid w:val="00CE63FE"/>
    <w:rsid w:val="00D635C6"/>
    <w:rsid w:val="17B1160A"/>
    <w:rsid w:val="1F9C4038"/>
    <w:rsid w:val="47A27880"/>
    <w:rsid w:val="4ED23CE3"/>
    <w:rsid w:val="617377E2"/>
    <w:rsid w:val="63FF58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iPriority w:val="0"/>
    <w:rPr>
      <w:sz w:val="18"/>
      <w:szCs w:val="18"/>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批注框文本 Char"/>
    <w:basedOn w:val="6"/>
    <w:link w:val="2"/>
    <w:uiPriority w:val="0"/>
    <w:rPr>
      <w:kern w:val="2"/>
      <w:sz w:val="18"/>
      <w:szCs w:val="18"/>
    </w:rPr>
  </w:style>
  <w:style w:type="character" w:customStyle="1" w:styleId="8">
    <w:name w:val="页眉 Char"/>
    <w:basedOn w:val="6"/>
    <w:link w:val="4"/>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411</Words>
  <Characters>2343</Characters>
  <Lines>19</Lines>
  <Paragraphs>5</Paragraphs>
  <TotalTime>22</TotalTime>
  <ScaleCrop>false</ScaleCrop>
  <LinksUpToDate>false</LinksUpToDate>
  <CharactersWithSpaces>2749</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2020-01-31T01:41:43Z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