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附件：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银州区教育事务服务中心2019年度政府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信息公开工作年度报告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报送单位：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银州区教育事务服务中心</w:t>
      </w: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一、总体情况</w:t>
      </w:r>
    </w:p>
    <w:p>
      <w:pPr>
        <w:ind w:firstLine="640" w:firstLineChars="200"/>
        <w:rPr>
          <w:rFonts w:hint="eastAsia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2019年，教育事务服务中心政府信息公开工作坚持以科学发展观为指导，认真贯彻落实《国务院办公厅关于印发2019年政务公开工作要点的通知》、《辽宁省人民政府办公厅印发关于贯彻落实国务院办公厅〈2019年政务公开工作要点〉工作安排的通知》和《铁岭市人民政府办公室关于贯彻落实省文件精神的实施意见》和区委区政府的要求，紧紧围绕教育中心工作，以群众满意为最基本要求，健全机制，拓宽渠道，着力构建程序规范、公开透明、便捷高效的政务公开长效机制，有效推动全局整体工作提高。具体做法如下：</w:t>
      </w:r>
    </w:p>
    <w:p>
      <w:pPr>
        <w:ind w:firstLine="640" w:firstLineChars="200"/>
        <w:rPr>
          <w:rFonts w:hint="eastAsia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（一）领导重视。中心局领导高度重视政府信息公开工作，严格落实各部门的职能职责，指定专人负责政府信息公开工作，形成一级抓一级、层层抓落实的局面，保证了2019年政府信息公开工作的有序推进。</w:t>
      </w:r>
    </w:p>
    <w:p>
      <w:pPr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（二）机制健全。指定专人负责信息的更新，并由专人跟踪与教育中心有关的网络舆情并及时进行疏导澄清，方便群众查询、获取信息。</w:t>
      </w:r>
    </w:p>
    <w:p>
      <w:pPr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二、主动公开政府信息情况</w:t>
      </w:r>
    </w:p>
    <w:tbl>
      <w:tblPr>
        <w:tblStyle w:val="3"/>
        <w:tblW w:w="814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3"/>
        <w:gridCol w:w="1875"/>
        <w:gridCol w:w="6"/>
        <w:gridCol w:w="1265"/>
        <w:gridCol w:w="18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第二十条第（一）项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</w:rPr>
              <w:t>制作数量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</w:rPr>
              <w:t>公开数量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对外公开总数量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规章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0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规范性文件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第二十条第（五）项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行政许可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其他对外管理服务事项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第二十条第（六）项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行政处罚</w:t>
            </w:r>
          </w:p>
        </w:tc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1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行政强制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第二十条第（八）项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行政事业性收费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0 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第二十条第（九）项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采购项目数量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采购总金额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政府集中采购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Cs w:val="21"/>
              </w:rPr>
              <w:t>0</w:t>
            </w:r>
          </w:p>
        </w:tc>
      </w:tr>
    </w:tbl>
    <w:p>
      <w:pPr>
        <w:widowControl/>
        <w:spacing w:line="432" w:lineRule="auto"/>
        <w:ind w:firstLine="480"/>
        <w:rPr>
          <w:rFonts w:ascii="Times New Roman" w:hAnsi="Times New Roman" w:eastAsia="仿宋" w:cs="Times New Roman"/>
          <w:color w:val="333333"/>
          <w:kern w:val="0"/>
          <w:sz w:val="32"/>
          <w:szCs w:val="32"/>
        </w:rPr>
      </w:pPr>
    </w:p>
    <w:p>
      <w:pPr>
        <w:ind w:firstLine="643" w:firstLineChars="200"/>
        <w:rPr>
          <w:rFonts w:ascii="黑体" w:hAnsi="黑体" w:eastAsia="黑体" w:cs="Times New Roman"/>
          <w:b/>
          <w:bCs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b/>
          <w:bCs/>
          <w:color w:val="333333"/>
          <w:kern w:val="0"/>
          <w:sz w:val="32"/>
          <w:szCs w:val="32"/>
        </w:rPr>
        <w:t>三、收到和处理政府信息公开申请情况</w:t>
      </w:r>
    </w:p>
    <w:tbl>
      <w:tblPr>
        <w:tblStyle w:val="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"/>
        <w:gridCol w:w="740"/>
        <w:gridCol w:w="2245"/>
        <w:gridCol w:w="825"/>
        <w:gridCol w:w="765"/>
        <w:gridCol w:w="765"/>
        <w:gridCol w:w="825"/>
        <w:gridCol w:w="990"/>
        <w:gridCol w:w="720"/>
        <w:gridCol w:w="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（本列数据的勾稽关系为：第一项加第二项之和，等于第三项加第四项之和）</w:t>
            </w:r>
          </w:p>
        </w:tc>
        <w:tc>
          <w:tcPr>
            <w:tcW w:w="55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申请人情况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2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自然人</w:t>
            </w:r>
          </w:p>
        </w:tc>
        <w:tc>
          <w:tcPr>
            <w:tcW w:w="40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法人或其他组织</w:t>
            </w:r>
          </w:p>
        </w:tc>
        <w:tc>
          <w:tcPr>
            <w:tcW w:w="70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商业企业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科研机构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社会公益组织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法律服务机构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</w:t>
            </w: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一、本年新收政府信息公开申请数量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二、上年结转政府信息公开申请数量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三本年度办理结果</w:t>
            </w: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（一）予以公开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（二）部分公开（区分处理的，只计这一情形，不计其他情形）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74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（三）不予公开</w:t>
            </w:r>
          </w:p>
        </w:tc>
        <w:tc>
          <w:tcPr>
            <w:tcW w:w="2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1.属于国家秘密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74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2.其他法律行政法规禁止公开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74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3.危及“三安全一稳定”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74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4.保护第三方合法权益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74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5.属于三类内部事务信息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74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6.属于四类过程性信息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74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7.属于行政执法案卷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74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8.属于行政查询事项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74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（四）无法提供</w:t>
            </w:r>
          </w:p>
        </w:tc>
        <w:tc>
          <w:tcPr>
            <w:tcW w:w="2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1.本机关不掌握相关政府信息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74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2.没有现成信息需要另行制作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74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3.补正后申请内容仍不明确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74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（五）不予处理</w:t>
            </w:r>
          </w:p>
        </w:tc>
        <w:tc>
          <w:tcPr>
            <w:tcW w:w="2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1.信访举报投诉类申请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74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2.重复申请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74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3.要求提供公开出版物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74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4.无正当理由大量反复申请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74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5.要求行政机关确认或重新出具已获取信息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（六）其他处理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（七）总计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四、结转下年度继续办理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</w:tr>
    </w:tbl>
    <w:p>
      <w:pPr>
        <w:widowControl/>
        <w:spacing w:line="432" w:lineRule="auto"/>
        <w:ind w:firstLine="480"/>
        <w:rPr>
          <w:rFonts w:ascii="仿宋" w:hAnsi="仿宋" w:eastAsia="仿宋" w:cs="宋体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ascii="仿宋" w:hAnsi="仿宋" w:eastAsia="仿宋" w:cs="宋体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ascii="黑体" w:hAnsi="黑体" w:eastAsia="黑体" w:cs="宋体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四、政府信息公开行政复议、行政诉讼情况</w:t>
      </w:r>
    </w:p>
    <w:tbl>
      <w:tblPr>
        <w:tblStyle w:val="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"/>
        <w:gridCol w:w="604"/>
        <w:gridCol w:w="604"/>
        <w:gridCol w:w="604"/>
        <w:gridCol w:w="658"/>
        <w:gridCol w:w="550"/>
        <w:gridCol w:w="605"/>
        <w:gridCol w:w="605"/>
        <w:gridCol w:w="605"/>
        <w:gridCol w:w="605"/>
        <w:gridCol w:w="605"/>
        <w:gridCol w:w="605"/>
        <w:gridCol w:w="605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行政复议</w:t>
            </w:r>
          </w:p>
        </w:tc>
        <w:tc>
          <w:tcPr>
            <w:tcW w:w="599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行政诉讼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其他结果</w:t>
            </w: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5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总计</w:t>
            </w:r>
          </w:p>
        </w:tc>
        <w:tc>
          <w:tcPr>
            <w:tcW w:w="29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未经复议直接起诉</w:t>
            </w:r>
          </w:p>
        </w:tc>
        <w:tc>
          <w:tcPr>
            <w:tcW w:w="30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复议后起诉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其他结果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其他结果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</w:tr>
    </w:tbl>
    <w:p>
      <w:pPr>
        <w:widowControl/>
        <w:spacing w:line="432" w:lineRule="auto"/>
        <w:jc w:val="center"/>
        <w:rPr>
          <w:rFonts w:ascii="Times New Roman" w:hAnsi="Times New Roman" w:eastAsia="宋体" w:cs="Times New Roman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五、存在的主要问题及改进情况</w:t>
      </w: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无</w:t>
      </w: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六、其他需要报告的事项</w:t>
      </w:r>
    </w:p>
    <w:p>
      <w:pPr>
        <w:widowControl/>
        <w:spacing w:line="432" w:lineRule="auto"/>
        <w:ind w:firstLine="480"/>
      </w:pP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无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72561279"/>
    </w:sdtPr>
    <w:sdtEndPr>
      <w:rPr>
        <w:rFonts w:ascii="Times New Roman" w:hAnsi="Times New Roman" w:cs="Times New Roman"/>
        <w:sz w:val="24"/>
        <w:szCs w:val="24"/>
      </w:rPr>
    </w:sdtEndPr>
    <w:sdtContent>
      <w:p>
        <w:pPr>
          <w:pStyle w:val="2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-</w:t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1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>-</w:t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CF1"/>
    <w:rsid w:val="00043484"/>
    <w:rsid w:val="00070522"/>
    <w:rsid w:val="000F43E1"/>
    <w:rsid w:val="00105CF1"/>
    <w:rsid w:val="001840F6"/>
    <w:rsid w:val="00192ECD"/>
    <w:rsid w:val="001C11EA"/>
    <w:rsid w:val="00364FF2"/>
    <w:rsid w:val="003E2786"/>
    <w:rsid w:val="00795081"/>
    <w:rsid w:val="00C07FD9"/>
    <w:rsid w:val="00D80EAA"/>
    <w:rsid w:val="47A27880"/>
    <w:rsid w:val="6173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铁岭市银州区教育局</Company>
  <Pages>5</Pages>
  <Words>290</Words>
  <Characters>1655</Characters>
  <Lines>13</Lines>
  <Paragraphs>3</Paragraphs>
  <TotalTime>8</TotalTime>
  <ScaleCrop>false</ScaleCrop>
  <LinksUpToDate>false</LinksUpToDate>
  <CharactersWithSpaces>1942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2020-01-31T01:59:04Z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