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银州区龙山乡人民政府2019年度政府信息公开工作年度报告</w:t>
      </w: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报送单位：银州区龙山乡人民政府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ind w:firstLine="640" w:firstLineChars="200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《中华人民共和国政府信息公开条例》（以下简称《条例》）颁布实施以来，我乡统一部署，加强组织领导，健全工作机制，认真贯彻《条例》的各项要求，扎实推进政府信息公开工作。现将20</w:t>
      </w:r>
      <w:r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  <w:t>19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年工作情况报告如下：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3"/>
        <w:tblW w:w="81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527"/>
              </w:tabs>
              <w:spacing w:before="100" w:beforeAutospacing="1" w:after="180" w:line="480" w:lineRule="auto"/>
              <w:jc w:val="lef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eastAsia="zh-CN"/>
              </w:rPr>
              <w:tab/>
            </w: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34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default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ind w:firstLine="480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0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0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0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65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spacing w:line="432" w:lineRule="auto"/>
        <w:jc w:val="center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ind w:firstLine="640" w:firstLineChars="200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在看到成绩的同时，我们也清醒地认识到，政务公开工作还存在着一些问题：</w:t>
      </w:r>
      <w:r>
        <w:rPr>
          <w:rFonts w:hint="eastAsia" w:ascii="楷体_GB2312" w:hAnsi="ˎ̥" w:eastAsia="楷体_GB2312" w:cs="宋体"/>
          <w:kern w:val="0"/>
          <w:sz w:val="32"/>
          <w:szCs w:val="32"/>
        </w:rPr>
        <w:t>一是</w:t>
      </w:r>
      <w:r>
        <w:rPr>
          <w:rFonts w:hint="eastAsia" w:ascii="楷体_GB2312" w:eastAsia="楷体_GB2312"/>
          <w:sz w:val="32"/>
          <w:szCs w:val="32"/>
        </w:rPr>
        <w:t>公开不够。</w:t>
      </w:r>
      <w:r>
        <w:rPr>
          <w:rFonts w:hint="eastAsia" w:ascii="仿宋_GB2312" w:eastAsia="仿宋_GB2312"/>
          <w:sz w:val="32"/>
          <w:szCs w:val="32"/>
        </w:rPr>
        <w:t>由于信息公开是一项全新的工作，现在我乡的工作机制方面还不够完善，人员安排还不够科学，导致信息指标统计不及时，发布信息量少等问题。</w:t>
      </w:r>
      <w:r>
        <w:rPr>
          <w:rFonts w:hint="eastAsia" w:ascii="楷体_GB2312" w:eastAsia="楷体_GB2312"/>
          <w:sz w:val="32"/>
          <w:szCs w:val="32"/>
        </w:rPr>
        <w:t>二是普及不够。</w:t>
      </w:r>
      <w:r>
        <w:rPr>
          <w:rFonts w:hint="eastAsia" w:ascii="仿宋_GB2312" w:hAnsi="ˎ̥" w:eastAsia="仿宋_GB2312"/>
          <w:sz w:val="32"/>
          <w:szCs w:val="32"/>
        </w:rPr>
        <w:t>信息公开面对社会宣传力度不够，下一步将利用多种渠道发布公开信息，提高</w:t>
      </w:r>
      <w:r>
        <w:rPr>
          <w:rFonts w:hint="eastAsia" w:ascii="仿宋_GB2312" w:hAnsi="ˎ̥" w:eastAsia="仿宋_GB2312"/>
          <w:sz w:val="32"/>
          <w:szCs w:val="32"/>
          <w:lang w:eastAsia="zh-CN"/>
        </w:rPr>
        <w:t>村民</w:t>
      </w:r>
      <w:r>
        <w:rPr>
          <w:rFonts w:hint="eastAsia" w:ascii="仿宋_GB2312" w:hAnsi="ˎ̥" w:eastAsia="仿宋_GB2312"/>
          <w:sz w:val="32"/>
          <w:szCs w:val="32"/>
        </w:rPr>
        <w:t>对</w:t>
      </w:r>
      <w:r>
        <w:rPr>
          <w:rFonts w:hint="eastAsia" w:ascii="仿宋_GB2312" w:hAnsi="ˎ̥" w:eastAsia="仿宋_GB2312"/>
          <w:sz w:val="32"/>
          <w:szCs w:val="32"/>
          <w:lang w:eastAsia="zh-CN"/>
        </w:rPr>
        <w:t>我</w:t>
      </w:r>
      <w:r>
        <w:rPr>
          <w:rFonts w:hint="eastAsia" w:ascii="仿宋_GB2312" w:hAnsi="ˎ̥" w:eastAsia="仿宋_GB2312"/>
          <w:sz w:val="32"/>
          <w:szCs w:val="32"/>
        </w:rPr>
        <w:t>乡有关信息的知晓率。</w:t>
      </w:r>
    </w:p>
    <w:p>
      <w:pPr>
        <w:ind w:firstLine="640" w:firstLineChars="20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20</w:t>
      </w:r>
      <w:r>
        <w:rPr>
          <w:rFonts w:hint="eastAsia" w:ascii="仿宋_GB2312" w:hAnsi="ˎ̥" w:eastAsia="仿宋_GB2312" w:cs="宋体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年，我们将按照要求，继续大力推进政府信息公开工作，主要是做好以下几方面工作：</w:t>
      </w:r>
      <w:r>
        <w:rPr>
          <w:rFonts w:hint="eastAsia" w:ascii="楷体_GB2312" w:hAnsi="ˎ̥" w:eastAsia="楷体_GB2312" w:cs="宋体"/>
          <w:kern w:val="0"/>
          <w:sz w:val="32"/>
          <w:szCs w:val="32"/>
        </w:rPr>
        <w:t>一是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加大学习、宣传、培训工作力度，重点加强政府信息公开条例的学习、宣传、培训。</w:t>
      </w:r>
      <w:r>
        <w:rPr>
          <w:rFonts w:hint="eastAsia" w:ascii="楷体_GB2312" w:hAnsi="ˎ̥" w:eastAsia="楷体_GB2312" w:cs="宋体"/>
          <w:kern w:val="0"/>
          <w:sz w:val="32"/>
          <w:szCs w:val="32"/>
        </w:rPr>
        <w:t>二是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规范制度建设，建立一套行之有效</w:t>
      </w:r>
      <w:r>
        <w:rPr>
          <w:rFonts w:hint="eastAsia" w:ascii="仿宋_GB2312" w:hAnsi="ˎ̥" w:eastAsia="仿宋_GB2312" w:cs="宋体"/>
          <w:kern w:val="0"/>
          <w:sz w:val="32"/>
          <w:szCs w:val="32"/>
          <w:lang w:eastAsia="zh-CN"/>
        </w:rPr>
        <w:t>、</w:t>
      </w:r>
      <w:bookmarkStart w:id="0" w:name="_GoBack"/>
      <w:bookmarkEnd w:id="0"/>
      <w:r>
        <w:rPr>
          <w:rFonts w:hint="eastAsia" w:ascii="仿宋_GB2312" w:hAnsi="ˎ̥" w:eastAsia="仿宋_GB2312" w:cs="宋体"/>
          <w:kern w:val="0"/>
          <w:sz w:val="32"/>
          <w:szCs w:val="32"/>
        </w:rPr>
        <w:t>有操作性的相关制度，用于规范政府工作人员依法公开、真实公开，用于规范具体经办人员的日常工作行为。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70E09"/>
    <w:rsid w:val="103C4CDA"/>
    <w:rsid w:val="179F70BB"/>
    <w:rsid w:val="20CF7B56"/>
    <w:rsid w:val="2174398B"/>
    <w:rsid w:val="47A27880"/>
    <w:rsid w:val="6173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58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2020-01-31T02:12:07Z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